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030605" w:rsidRPr="000A47E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605" w:rsidRPr="000A47EC" w:rsidRDefault="00030605">
            <w:pPr>
              <w:pStyle w:val="newncpi"/>
              <w:rPr>
                <w:sz w:val="30"/>
                <w:szCs w:val="30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605" w:rsidRPr="000A47EC" w:rsidRDefault="00030605">
            <w:pPr>
              <w:pStyle w:val="capu1"/>
              <w:rPr>
                <w:sz w:val="30"/>
                <w:szCs w:val="30"/>
              </w:rPr>
            </w:pPr>
            <w:r w:rsidRPr="000A47EC">
              <w:rPr>
                <w:sz w:val="30"/>
                <w:szCs w:val="30"/>
              </w:rPr>
              <w:t>УТВЕРЖДЕНО</w:t>
            </w:r>
          </w:p>
          <w:p w:rsidR="00030605" w:rsidRPr="000A47EC" w:rsidRDefault="00030605">
            <w:pPr>
              <w:pStyle w:val="cap1"/>
              <w:rPr>
                <w:sz w:val="30"/>
                <w:szCs w:val="30"/>
              </w:rPr>
            </w:pPr>
            <w:r w:rsidRPr="000A47EC">
              <w:rPr>
                <w:sz w:val="30"/>
                <w:szCs w:val="30"/>
              </w:rPr>
              <w:t xml:space="preserve">Указ Президента </w:t>
            </w:r>
            <w:r w:rsidRPr="000A47EC">
              <w:rPr>
                <w:sz w:val="30"/>
                <w:szCs w:val="30"/>
              </w:rPr>
              <w:br/>
              <w:t>Республики Беларусь</w:t>
            </w:r>
            <w:r w:rsidRPr="000A47EC">
              <w:rPr>
                <w:sz w:val="30"/>
                <w:szCs w:val="30"/>
              </w:rPr>
              <w:br/>
              <w:t>14.11.2019 № 412</w:t>
            </w:r>
          </w:p>
        </w:tc>
      </w:tr>
    </w:tbl>
    <w:p w:rsidR="00030605" w:rsidRPr="000A47EC" w:rsidRDefault="00030605">
      <w:pPr>
        <w:pStyle w:val="titleu"/>
        <w:rPr>
          <w:sz w:val="30"/>
          <w:szCs w:val="30"/>
        </w:rPr>
      </w:pPr>
      <w:r w:rsidRPr="000A47EC">
        <w:rPr>
          <w:sz w:val="30"/>
          <w:szCs w:val="30"/>
        </w:rPr>
        <w:t>ПОЛОЖЕНИЕ</w:t>
      </w:r>
      <w:r w:rsidRPr="000A47EC">
        <w:rPr>
          <w:sz w:val="30"/>
          <w:szCs w:val="30"/>
        </w:rPr>
        <w:br/>
        <w:t>о возмещении части расходов на проведение оценки соответствия продукции в иностранных государствах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 xml:space="preserve">1. Настоящим Положением </w:t>
      </w:r>
      <w:proofErr w:type="gramStart"/>
      <w:r w:rsidRPr="000A47EC">
        <w:rPr>
          <w:sz w:val="30"/>
          <w:szCs w:val="30"/>
        </w:rPr>
        <w:t>устанавливаются условия</w:t>
      </w:r>
      <w:proofErr w:type="gramEnd"/>
      <w:r w:rsidRPr="000A47EC">
        <w:rPr>
          <w:sz w:val="30"/>
          <w:szCs w:val="30"/>
        </w:rPr>
        <w:t xml:space="preserve"> и порядок возмещения юридическим лицам и индивидуальным предпринимателям, зарегистрированным в Республике Беларусь (далее – юридические лица, индивидуальные предприниматели), части расходов на проведение оценки соответствия производимой в Республике Беларусь продукции техническим требованиям в иностранных государствах* (далее – возмещение).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Для целей настоящего Положения под оценкой соответствия продукции техническим требованиям в иностранных государствах (далее – оценка соответствия) понимается комплекс работ (мероприятий), осуществляемый органами по оценке соответствия иностранных государств, органами по сертификации и испытательными лабораториями Республики Беларусь, заключившими соответствующие соглашения с органами по оценке соответствия иностранных государств.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Оценка соответствия проводится в целях определения соблюдения технических требований к продукции, предъявляемых в иностранных государствах, и включает подготовку (разработку, доработку, перевод) технической документации на продукцию, проведение испытаний, доработку конструкции, получение документов об оценке соответствия (сертификат, свидетельство, протокол испытаний и другое), требуемых для ввоза продукции.</w:t>
      </w:r>
    </w:p>
    <w:p w:rsidR="00030605" w:rsidRPr="000A47EC" w:rsidRDefault="00030605">
      <w:pPr>
        <w:pStyle w:val="snoskiline"/>
        <w:rPr>
          <w:sz w:val="30"/>
          <w:szCs w:val="30"/>
        </w:rPr>
      </w:pPr>
      <w:r w:rsidRPr="000A47EC">
        <w:rPr>
          <w:sz w:val="30"/>
          <w:szCs w:val="30"/>
        </w:rPr>
        <w:t>______________________________</w:t>
      </w:r>
    </w:p>
    <w:p w:rsidR="00030605" w:rsidRPr="000A47EC" w:rsidRDefault="00030605">
      <w:pPr>
        <w:pStyle w:val="snoski"/>
        <w:spacing w:after="240"/>
        <w:rPr>
          <w:sz w:val="30"/>
          <w:szCs w:val="30"/>
        </w:rPr>
      </w:pPr>
      <w:r w:rsidRPr="000A47EC">
        <w:rPr>
          <w:sz w:val="30"/>
          <w:szCs w:val="30"/>
        </w:rPr>
        <w:t>* За исключением государств – членов Евразийского экономического союза.</w:t>
      </w:r>
    </w:p>
    <w:p w:rsidR="00030605" w:rsidRPr="004A7316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 xml:space="preserve">2. Возмещение предоставляется юридическому лицу, индивидуальному предпринимателю </w:t>
      </w:r>
      <w:r w:rsidRPr="004A7316">
        <w:rPr>
          <w:sz w:val="30"/>
          <w:szCs w:val="30"/>
        </w:rPr>
        <w:t>не более двух раз в течение календарного года.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>3. Возмещение осуществляется: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 xml:space="preserve">по решению Управления делами Президента Республики Беларусь, республиканских органов государственного управления и иных </w:t>
      </w:r>
      <w:r w:rsidRPr="000A47EC">
        <w:rPr>
          <w:sz w:val="30"/>
          <w:szCs w:val="30"/>
        </w:rPr>
        <w:lastRenderedPageBreak/>
        <w:t>государственных организаций, подчиненных Правительству Республики Беларусь (далее, если не предусмотрено иное, – республиканские уполномоченные органы), облисполкомов и Минского горисполкома (далее, если не предусмотрено иное, – местные уполномоченные органы);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в пределах средств, предусмотренных на эти цели законом о республиканском бюджете и решениями местных Советов депутатов об областных (г. Минска) бюджетах на соответствующий финансовый год.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Возмещение предоставляется в следующих размерах:</w:t>
      </w:r>
    </w:p>
    <w:p w:rsidR="00030605" w:rsidRPr="004A7316" w:rsidRDefault="00030605">
      <w:pPr>
        <w:pStyle w:val="newncpi"/>
        <w:rPr>
          <w:sz w:val="30"/>
          <w:szCs w:val="30"/>
        </w:rPr>
      </w:pPr>
      <w:r w:rsidRPr="004A7316">
        <w:rPr>
          <w:sz w:val="30"/>
          <w:szCs w:val="30"/>
        </w:rPr>
        <w:t>50 процентов от суммы расходов, понесенных юридическими лицами, индивидуальными предпринимателями на проведение оценки соответствия, но не более 500 базовых величин на дату принятия решения о предоставлении возмещения в отношении продукции;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не более 10 000 базовых величин* в течение календарного года в порядке очередности подачи юридическими лицами, индивидуальными предпринимателями заявлений о предоставлении возмещения – по каждому республиканскому (местному) уполномоченному органу.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В случае</w:t>
      </w:r>
      <w:proofErr w:type="gramStart"/>
      <w:r w:rsidRPr="000A47EC">
        <w:rPr>
          <w:sz w:val="30"/>
          <w:szCs w:val="30"/>
        </w:rPr>
        <w:t>,</w:t>
      </w:r>
      <w:proofErr w:type="gramEnd"/>
      <w:r w:rsidRPr="000A47EC">
        <w:rPr>
          <w:sz w:val="30"/>
          <w:szCs w:val="30"/>
        </w:rPr>
        <w:t xml:space="preserve"> если юридические лица, индивидуальные предприниматели понесли расходы в иностранной валюте, возмещение производится в белорусских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возмещения.</w:t>
      </w:r>
    </w:p>
    <w:p w:rsidR="00030605" w:rsidRPr="000A47EC" w:rsidRDefault="00030605">
      <w:pPr>
        <w:pStyle w:val="snoskiline"/>
        <w:rPr>
          <w:sz w:val="30"/>
          <w:szCs w:val="30"/>
        </w:rPr>
      </w:pPr>
      <w:r w:rsidRPr="000A47EC">
        <w:rPr>
          <w:sz w:val="30"/>
          <w:szCs w:val="30"/>
        </w:rPr>
        <w:t>______________________________</w:t>
      </w:r>
    </w:p>
    <w:p w:rsidR="00030605" w:rsidRPr="000A47EC" w:rsidRDefault="00030605">
      <w:pPr>
        <w:pStyle w:val="snoski"/>
        <w:spacing w:after="240"/>
        <w:rPr>
          <w:sz w:val="30"/>
          <w:szCs w:val="30"/>
        </w:rPr>
      </w:pPr>
      <w:r w:rsidRPr="000A47EC">
        <w:rPr>
          <w:sz w:val="30"/>
          <w:szCs w:val="30"/>
        </w:rPr>
        <w:t xml:space="preserve">* </w:t>
      </w:r>
      <w:proofErr w:type="gramStart"/>
      <w:r w:rsidRPr="000A47EC">
        <w:rPr>
          <w:sz w:val="30"/>
          <w:szCs w:val="30"/>
        </w:rPr>
        <w:t>Рассчитанных</w:t>
      </w:r>
      <w:proofErr w:type="gramEnd"/>
      <w:r w:rsidRPr="000A47EC">
        <w:rPr>
          <w:sz w:val="30"/>
          <w:szCs w:val="30"/>
        </w:rPr>
        <w:t xml:space="preserve"> на 1 января соответствующего календарного года.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>4. Возмещение не предоставляется, если на дату подачи заявления о его предоставлении юридические лица, индивидуальные предприниматели: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имеют задолженность по платежам в </w:t>
      </w:r>
      <w:proofErr w:type="gramStart"/>
      <w:r w:rsidRPr="000A47EC">
        <w:rPr>
          <w:sz w:val="30"/>
          <w:szCs w:val="30"/>
        </w:rPr>
        <w:t>республиканский</w:t>
      </w:r>
      <w:proofErr w:type="gramEnd"/>
      <w:r w:rsidRPr="000A47EC">
        <w:rPr>
          <w:sz w:val="30"/>
          <w:szCs w:val="30"/>
        </w:rPr>
        <w:t>, местные бюджеты и бюджеты государственных внебюджетных фондов;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распорядительных органов;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не выполнили свои обязательства по исполненным гарантиям Правительства Республики Беларусь, местных исполнительных и распорядительных органов, бюджетным ссудам, бюджетным займам либо выполнили указанные обязательства за счет бюджетных средств;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находятся в процессе ликвидации (прекращения деятельности), процедуре экономической несостоятельности (банкротства).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lastRenderedPageBreak/>
        <w:t>5. Республиканские (местные) уполномоченные органы размещают на своих официальных сайтах в глобальной компьютерной сети Интернет информацию о порядке приема и рассмотрения заявлений о предоставлении возмещения.</w:t>
      </w:r>
    </w:p>
    <w:p w:rsidR="00030605" w:rsidRPr="00B8080E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>6. </w:t>
      </w:r>
      <w:r w:rsidRPr="004A7316">
        <w:rPr>
          <w:sz w:val="30"/>
          <w:szCs w:val="30"/>
        </w:rPr>
        <w:t>Для получения возмещения юридические лица, индивидуальные предприниматели в течение 30 календарных дней со дня получения документа об оценке соответствия</w:t>
      </w:r>
      <w:r w:rsidRPr="000A47EC">
        <w:rPr>
          <w:sz w:val="30"/>
          <w:szCs w:val="30"/>
        </w:rPr>
        <w:t xml:space="preserve"> </w:t>
      </w:r>
      <w:r w:rsidRPr="00B8080E">
        <w:rPr>
          <w:sz w:val="30"/>
          <w:szCs w:val="30"/>
        </w:rPr>
        <w:t>представляют в республиканский (местный) уполномоченный орган:</w:t>
      </w:r>
    </w:p>
    <w:p w:rsidR="005714FC" w:rsidRPr="004A7316" w:rsidRDefault="00030605" w:rsidP="005714FC">
      <w:pPr>
        <w:pStyle w:val="newncpi"/>
        <w:rPr>
          <w:sz w:val="30"/>
          <w:szCs w:val="30"/>
        </w:rPr>
      </w:pPr>
      <w:r w:rsidRPr="005714FC">
        <w:rPr>
          <w:color w:val="000000" w:themeColor="text1"/>
          <w:sz w:val="30"/>
          <w:szCs w:val="30"/>
        </w:rPr>
        <w:t>заявление по форме</w:t>
      </w:r>
      <w:r w:rsidR="00B8080E" w:rsidRPr="005714FC">
        <w:rPr>
          <w:color w:val="000000" w:themeColor="text1"/>
          <w:sz w:val="30"/>
          <w:szCs w:val="30"/>
        </w:rPr>
        <w:t>,</w:t>
      </w:r>
      <w:r w:rsidRPr="00B8080E">
        <w:rPr>
          <w:color w:val="FF0000"/>
          <w:sz w:val="30"/>
          <w:szCs w:val="30"/>
        </w:rPr>
        <w:t xml:space="preserve"> </w:t>
      </w:r>
      <w:r w:rsidR="004A7316" w:rsidRPr="004A7316">
        <w:rPr>
          <w:sz w:val="30"/>
          <w:szCs w:val="30"/>
        </w:rPr>
        <w:t>определяемой</w:t>
      </w:r>
      <w:r w:rsidR="004A7316">
        <w:rPr>
          <w:sz w:val="30"/>
          <w:szCs w:val="30"/>
        </w:rPr>
        <w:t xml:space="preserve"> Советом Министров Республики Беларусь</w:t>
      </w:r>
      <w:bookmarkStart w:id="0" w:name="_GoBack"/>
      <w:bookmarkEnd w:id="0"/>
      <w:r w:rsidR="005714FC" w:rsidRPr="004A7316">
        <w:rPr>
          <w:sz w:val="30"/>
          <w:szCs w:val="30"/>
        </w:rPr>
        <w:t>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копию свидетельства о государственной регистрации,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копии документов об оценке соответствия;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копии договоров (иных документов) на выполнение работ (оказание услуг) организациями, осуществляющими оценку соответствия, платежных и иных документов, подтверждающих фактическую оплату понесенных расходов;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копии товарно-транспортных накладных и таможенных документов, подтверждающих доставку образца товара для проведения оценки соответствия.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 xml:space="preserve">Документы, указанные в части первой настоящего пункта, заверяются подписью руководителя, главного бухгалтера юридического лица (в случае, если руководство бухгалтерским учетом юридического лица осуществляет главный бухгалтер), индивидуального предпринимателя либо руководителя организации или индивидуального предпринимателя, </w:t>
      </w:r>
      <w:proofErr w:type="gramStart"/>
      <w:r w:rsidRPr="000A47EC">
        <w:rPr>
          <w:sz w:val="30"/>
          <w:szCs w:val="30"/>
        </w:rPr>
        <w:t>оказывающих</w:t>
      </w:r>
      <w:proofErr w:type="gramEnd"/>
      <w:r w:rsidRPr="000A47EC">
        <w:rPr>
          <w:sz w:val="30"/>
          <w:szCs w:val="30"/>
        </w:rPr>
        <w:t xml:space="preserve"> услуги по ведению бухгалтерского учета и составлению отчетности, и направляются: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в Управление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управлении (оперативном управлении), а также организациями, являющимися участниками холдингов, управляющие компании которых находятся в подчинении названного органа;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в республиканские органы государственного управления – организациями, подчиненными этим органам, а также хозяйственными обществами, акции (доли в уставных фондах) которых находятся в управлении (оперативном управлении) названных органов;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lastRenderedPageBreak/>
        <w:t>в облисполкомы и Минский горисполком – юридическими лицами, не указанными в абзацах втором–четвертом настоящей части, и индивидуальными предпринимателями с учетом их места нахождения (места жительства).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Если юридическим лицом, индивидуальным предпринимателем не выполнены требования настоящего пункта, республиканский (местный) уполномоченный орган в течение 3 рабочих дней со дня, следующего за днем регистрации заявления, отказывает в его принятии, о чем письменно информирует юридическое лицо, индивидуального предпринимателя.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 xml:space="preserve">7. Республиканский (местный) уполномоченный орган в течение 10 рабочих дней </w:t>
      </w:r>
      <w:proofErr w:type="gramStart"/>
      <w:r w:rsidRPr="000A47EC">
        <w:rPr>
          <w:sz w:val="30"/>
          <w:szCs w:val="30"/>
        </w:rPr>
        <w:t>с даты получения</w:t>
      </w:r>
      <w:proofErr w:type="gramEnd"/>
      <w:r w:rsidRPr="000A47EC">
        <w:rPr>
          <w:sz w:val="30"/>
          <w:szCs w:val="30"/>
        </w:rPr>
        <w:t xml:space="preserve"> заявления принимает одно из следующих решений: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о предоставлении возмещения;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об отказе в предоставлении возмещения, если не выполняются условия возмещения, предусмотренные в пункте 2 настоящего Положения, а также в случаях, перечисленных в пункте 4 настоящего Положения.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 xml:space="preserve">8. Республиканский (местный) уполномоченный орган в течение 3 рабочих дней </w:t>
      </w:r>
      <w:proofErr w:type="gramStart"/>
      <w:r w:rsidRPr="000A47EC">
        <w:rPr>
          <w:sz w:val="30"/>
          <w:szCs w:val="30"/>
        </w:rPr>
        <w:t>с даты принятия</w:t>
      </w:r>
      <w:proofErr w:type="gramEnd"/>
      <w:r w:rsidRPr="000A47EC">
        <w:rPr>
          <w:sz w:val="30"/>
          <w:szCs w:val="30"/>
        </w:rPr>
        <w:t xml:space="preserve">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>9. В решении о предоставлении возмещения должна быть указана информация о наименовании юридического лица, фамилии, собственном имени, отчестве (при его наличии) индивидуального предпринимателя, размере возмещения, а также источнике средств, за счет которого будет осуществляться возмещение. В решении об отказе в предоставлении возмещения должны быть указаны причины отказа.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Перечисление возмещения производится на текущие (расчетные) банковские счета юридических лиц, индивидуальных предпринимателей при предъявлении республиканскими (местными) уполномоченными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решения о предоставлении возмещения.</w:t>
      </w:r>
    </w:p>
    <w:p w:rsidR="00030605" w:rsidRPr="000A47EC" w:rsidRDefault="00030605">
      <w:pPr>
        <w:pStyle w:val="point"/>
        <w:rPr>
          <w:sz w:val="30"/>
          <w:szCs w:val="30"/>
        </w:rPr>
      </w:pPr>
      <w:r w:rsidRPr="000A47EC">
        <w:rPr>
          <w:sz w:val="30"/>
          <w:szCs w:val="30"/>
        </w:rPr>
        <w:t>10. Юридические лица, индивидуальные предприниматели несут ответственность за достоверность сведений (данных), явившихся основанием для предоставления возмещения, в соответствии с бюджетным законодательством.</w:t>
      </w:r>
    </w:p>
    <w:p w:rsidR="00030605" w:rsidRPr="000A47EC" w:rsidRDefault="00030605">
      <w:pPr>
        <w:pStyle w:val="newncpi"/>
        <w:rPr>
          <w:sz w:val="30"/>
          <w:szCs w:val="30"/>
        </w:rPr>
      </w:pPr>
      <w:r w:rsidRPr="000A47EC">
        <w:rPr>
          <w:sz w:val="30"/>
          <w:szCs w:val="30"/>
        </w:rPr>
        <w:t> </w:t>
      </w:r>
    </w:p>
    <w:p w:rsidR="00B8080E" w:rsidRPr="000A47EC" w:rsidRDefault="00B8080E">
      <w:pPr>
        <w:rPr>
          <w:sz w:val="30"/>
          <w:szCs w:val="30"/>
        </w:rPr>
      </w:pPr>
    </w:p>
    <w:sectPr w:rsidR="00B8080E" w:rsidRPr="000A47EC" w:rsidSect="00030605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0E" w:rsidRDefault="00B8080E" w:rsidP="00030605">
      <w:pPr>
        <w:spacing w:after="0" w:line="240" w:lineRule="auto"/>
      </w:pPr>
      <w:r>
        <w:separator/>
      </w:r>
    </w:p>
  </w:endnote>
  <w:endnote w:type="continuationSeparator" w:id="0">
    <w:p w:rsidR="00B8080E" w:rsidRDefault="00B8080E" w:rsidP="0003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0E" w:rsidRDefault="00B8080E" w:rsidP="00030605">
      <w:pPr>
        <w:spacing w:after="0" w:line="240" w:lineRule="auto"/>
      </w:pPr>
      <w:r>
        <w:separator/>
      </w:r>
    </w:p>
  </w:footnote>
  <w:footnote w:type="continuationSeparator" w:id="0">
    <w:p w:rsidR="00B8080E" w:rsidRDefault="00B8080E" w:rsidP="0003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E" w:rsidRDefault="000C06D0" w:rsidP="00B808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0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80E" w:rsidRDefault="00B80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E" w:rsidRPr="00030605" w:rsidRDefault="000C06D0" w:rsidP="00B808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30605">
      <w:rPr>
        <w:rStyle w:val="a7"/>
        <w:rFonts w:ascii="Times New Roman" w:hAnsi="Times New Roman" w:cs="Times New Roman"/>
        <w:sz w:val="24"/>
      </w:rPr>
      <w:fldChar w:fldCharType="begin"/>
    </w:r>
    <w:r w:rsidR="00B8080E" w:rsidRPr="0003060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30605">
      <w:rPr>
        <w:rStyle w:val="a7"/>
        <w:rFonts w:ascii="Times New Roman" w:hAnsi="Times New Roman" w:cs="Times New Roman"/>
        <w:sz w:val="24"/>
      </w:rPr>
      <w:fldChar w:fldCharType="separate"/>
    </w:r>
    <w:r w:rsidR="004A7316">
      <w:rPr>
        <w:rStyle w:val="a7"/>
        <w:rFonts w:ascii="Times New Roman" w:hAnsi="Times New Roman" w:cs="Times New Roman"/>
        <w:noProof/>
        <w:sz w:val="24"/>
      </w:rPr>
      <w:t>3</w:t>
    </w:r>
    <w:r w:rsidRPr="00030605">
      <w:rPr>
        <w:rStyle w:val="a7"/>
        <w:rFonts w:ascii="Times New Roman" w:hAnsi="Times New Roman" w:cs="Times New Roman"/>
        <w:sz w:val="24"/>
      </w:rPr>
      <w:fldChar w:fldCharType="end"/>
    </w:r>
  </w:p>
  <w:p w:rsidR="00B8080E" w:rsidRPr="00030605" w:rsidRDefault="00B8080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605"/>
    <w:rsid w:val="00030605"/>
    <w:rsid w:val="000A47EC"/>
    <w:rsid w:val="000C06D0"/>
    <w:rsid w:val="00177604"/>
    <w:rsid w:val="003B044F"/>
    <w:rsid w:val="00415C25"/>
    <w:rsid w:val="004853F3"/>
    <w:rsid w:val="004A7316"/>
    <w:rsid w:val="005714FC"/>
    <w:rsid w:val="00580258"/>
    <w:rsid w:val="005F2458"/>
    <w:rsid w:val="00646DB5"/>
    <w:rsid w:val="00B8080E"/>
    <w:rsid w:val="00D464C5"/>
    <w:rsid w:val="00E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306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306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306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306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306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306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0306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306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306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06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306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306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306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3060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30605"/>
  </w:style>
  <w:style w:type="character" w:customStyle="1" w:styleId="post">
    <w:name w:val="post"/>
    <w:basedOn w:val="a0"/>
    <w:rsid w:val="000306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3060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3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605"/>
  </w:style>
  <w:style w:type="paragraph" w:styleId="a5">
    <w:name w:val="footer"/>
    <w:basedOn w:val="a"/>
    <w:link w:val="a6"/>
    <w:uiPriority w:val="99"/>
    <w:semiHidden/>
    <w:unhideWhenUsed/>
    <w:rsid w:val="0003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605"/>
  </w:style>
  <w:style w:type="character" w:styleId="a7">
    <w:name w:val="page number"/>
    <w:basedOn w:val="a0"/>
    <w:uiPriority w:val="99"/>
    <w:semiHidden/>
    <w:unhideWhenUsed/>
    <w:rsid w:val="00030605"/>
  </w:style>
  <w:style w:type="table" w:styleId="a8">
    <w:name w:val="Table Grid"/>
    <w:basedOn w:val="a1"/>
    <w:uiPriority w:val="59"/>
    <w:rsid w:val="0003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931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Kuzina_EA</dc:creator>
  <cp:keywords/>
  <dc:description/>
  <cp:lastModifiedBy>Авсиевич Ольга Николаевна</cp:lastModifiedBy>
  <cp:revision>7</cp:revision>
  <dcterms:created xsi:type="dcterms:W3CDTF">2020-01-20T11:32:00Z</dcterms:created>
  <dcterms:modified xsi:type="dcterms:W3CDTF">2020-02-04T11:26:00Z</dcterms:modified>
</cp:coreProperties>
</file>