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3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4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5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0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0"/>
    </w:p>
  </w:footnote>
  <w:footnote w:id="6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7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4180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82AD9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2025-09-29T08:17:00Z</dcterms:modified>
</cp:coreProperties>
</file>