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273"/>
        <w:gridCol w:w="2040"/>
        <w:gridCol w:w="5506"/>
      </w:tblGrid>
      <w:tr w:rsidR="000F3A46" w:rsidRPr="007C755F" w14:paraId="56200409" w14:textId="77777777" w:rsidTr="00F168C1">
        <w:trPr>
          <w:gridAfter w:val="1"/>
          <w:wAfter w:w="5506" w:type="dxa"/>
          <w:trHeight w:val="2131"/>
        </w:trPr>
        <w:tc>
          <w:tcPr>
            <w:tcW w:w="4313" w:type="dxa"/>
            <w:gridSpan w:val="2"/>
          </w:tcPr>
          <w:p w14:paraId="38EFA766" w14:textId="77777777" w:rsidR="000F3A46" w:rsidRPr="007C755F" w:rsidRDefault="00AE1DD6">
            <w:pPr>
              <w:widowControl w:val="0"/>
              <w:spacing w:before="120" w:after="120"/>
              <w:rPr>
                <w:b/>
              </w:rPr>
            </w:pPr>
            <w:r w:rsidRPr="007C755F">
              <w:rPr>
                <w:b/>
                <w:sz w:val="22"/>
                <w:szCs w:val="22"/>
              </w:rPr>
              <w:t>СОГЛАСОВАНО:</w:t>
            </w:r>
          </w:p>
          <w:p w14:paraId="5CF5B6D0" w14:textId="77777777" w:rsidR="00AE1DD6" w:rsidRPr="007E12F7" w:rsidRDefault="00F044AC" w:rsidP="00AE1DD6">
            <w:pPr>
              <w:pStyle w:val="a6"/>
              <w:rPr>
                <w:sz w:val="22"/>
              </w:rPr>
            </w:pPr>
            <w:r w:rsidRPr="007E12F7">
              <w:rPr>
                <w:sz w:val="22"/>
              </w:rPr>
              <w:t>Ликвидатор</w:t>
            </w:r>
          </w:p>
          <w:p w14:paraId="35F8E05A" w14:textId="7F4D159E" w:rsidR="00AE1DD6" w:rsidRPr="007E12F7" w:rsidRDefault="00CD0DD2" w:rsidP="00AE1DD6">
            <w:pPr>
              <w:pStyle w:val="a6"/>
              <w:rPr>
                <w:sz w:val="22"/>
              </w:rPr>
            </w:pPr>
            <w:r w:rsidRPr="007E12F7">
              <w:rPr>
                <w:sz w:val="22"/>
              </w:rPr>
              <w:t>ГУКДСП «Горецкая ПМК № 1»</w:t>
            </w:r>
          </w:p>
          <w:p w14:paraId="4B434BE7" w14:textId="77777777" w:rsidR="00CD0DD2" w:rsidRPr="007E12F7" w:rsidRDefault="00CD0DD2" w:rsidP="00AE1DD6">
            <w:pPr>
              <w:pStyle w:val="a6"/>
              <w:rPr>
                <w:sz w:val="22"/>
              </w:rPr>
            </w:pPr>
          </w:p>
          <w:p w14:paraId="27C3AA9F" w14:textId="75932ED7" w:rsidR="00AE1DD6" w:rsidRPr="007E12F7" w:rsidRDefault="00AE1DD6" w:rsidP="00AE1DD6">
            <w:pPr>
              <w:pStyle w:val="a6"/>
              <w:rPr>
                <w:sz w:val="22"/>
              </w:rPr>
            </w:pPr>
            <w:r w:rsidRPr="007E12F7">
              <w:rPr>
                <w:sz w:val="22"/>
              </w:rPr>
              <w:t>_________________ /</w:t>
            </w:r>
            <w:r w:rsidR="00CD0DD2" w:rsidRPr="007E12F7">
              <w:rPr>
                <w:sz w:val="22"/>
              </w:rPr>
              <w:t xml:space="preserve"> Н.И. Лукашкова </w:t>
            </w:r>
            <w:r w:rsidRPr="007E12F7">
              <w:rPr>
                <w:sz w:val="22"/>
              </w:rPr>
              <w:t>/</w:t>
            </w:r>
          </w:p>
          <w:p w14:paraId="18756C02" w14:textId="3C58DCC7" w:rsidR="00AE1DD6" w:rsidRPr="007E12F7" w:rsidRDefault="00AE1DD6" w:rsidP="0013604B">
            <w:pPr>
              <w:pStyle w:val="a6"/>
              <w:rPr>
                <w:sz w:val="22"/>
              </w:rPr>
            </w:pPr>
            <w:r w:rsidRPr="007E12F7">
              <w:rPr>
                <w:sz w:val="22"/>
              </w:rPr>
              <w:t>«</w:t>
            </w:r>
            <w:r w:rsidR="000719A1" w:rsidRPr="007E12F7">
              <w:rPr>
                <w:sz w:val="22"/>
              </w:rPr>
              <w:t>30</w:t>
            </w:r>
            <w:r w:rsidRPr="007E12F7">
              <w:rPr>
                <w:sz w:val="22"/>
              </w:rPr>
              <w:t>»</w:t>
            </w:r>
            <w:r w:rsidR="00E07D83" w:rsidRPr="007E12F7">
              <w:rPr>
                <w:sz w:val="22"/>
              </w:rPr>
              <w:t xml:space="preserve"> ма</w:t>
            </w:r>
            <w:r w:rsidR="00CD0DD2" w:rsidRPr="007E12F7">
              <w:rPr>
                <w:sz w:val="22"/>
              </w:rPr>
              <w:t>я</w:t>
            </w:r>
            <w:r w:rsidRPr="007E12F7">
              <w:rPr>
                <w:sz w:val="22"/>
              </w:rPr>
              <w:t xml:space="preserve"> 20</w:t>
            </w:r>
            <w:r w:rsidR="00CD0DD2" w:rsidRPr="007E12F7">
              <w:rPr>
                <w:sz w:val="22"/>
              </w:rPr>
              <w:t>23</w:t>
            </w:r>
            <w:r w:rsidRPr="007E12F7">
              <w:rPr>
                <w:sz w:val="22"/>
              </w:rPr>
              <w:t xml:space="preserve"> г. </w:t>
            </w:r>
          </w:p>
          <w:p w14:paraId="6BBD3ED3" w14:textId="77777777" w:rsidR="006F6F49" w:rsidRPr="007C755F" w:rsidRDefault="006F6F49" w:rsidP="0013604B">
            <w:pPr>
              <w:pStyle w:val="a6"/>
            </w:pPr>
          </w:p>
        </w:tc>
      </w:tr>
      <w:tr w:rsidR="000F3A46" w:rsidRPr="007C755F" w14:paraId="4A35DF95" w14:textId="77777777" w:rsidTr="00F168C1">
        <w:trPr>
          <w:trHeight w:val="107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7AFF4" w14:textId="70B7BD48" w:rsidR="000F3A46" w:rsidRPr="007C755F" w:rsidRDefault="000F3A46" w:rsidP="002D294C">
            <w:pPr>
              <w:suppressAutoHyphens/>
              <w:ind w:left="-142" w:right="-82" w:firstLine="540"/>
              <w:jc w:val="center"/>
              <w:rPr>
                <w:b/>
                <w:sz w:val="20"/>
                <w:szCs w:val="20"/>
              </w:rPr>
            </w:pPr>
            <w:r w:rsidRPr="007C755F">
              <w:rPr>
                <w:b/>
                <w:sz w:val="20"/>
                <w:szCs w:val="20"/>
              </w:rPr>
              <w:t>Извещение о проведении</w:t>
            </w:r>
            <w:r w:rsidR="002E21C3" w:rsidRPr="007C755F">
              <w:rPr>
                <w:b/>
                <w:sz w:val="20"/>
                <w:szCs w:val="20"/>
              </w:rPr>
              <w:t xml:space="preserve"> </w:t>
            </w:r>
            <w:r w:rsidR="00254FFE" w:rsidRPr="00254FFE">
              <w:rPr>
                <w:b/>
                <w:sz w:val="20"/>
                <w:szCs w:val="20"/>
              </w:rPr>
              <w:t>электронных торгов</w:t>
            </w:r>
          </w:p>
        </w:tc>
      </w:tr>
      <w:tr w:rsidR="00254FFE" w:rsidRPr="007C755F" w14:paraId="03B3461A" w14:textId="77777777" w:rsidTr="00F168C1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CF3CF6" w14:textId="4D1A8FB3" w:rsidR="00254FFE" w:rsidRPr="00254FFE" w:rsidRDefault="00254FFE" w:rsidP="00254FFE">
            <w:pPr>
              <w:suppressAutoHyphens/>
              <w:ind w:right="-82"/>
              <w:jc w:val="both"/>
              <w:rPr>
                <w:b/>
                <w:sz w:val="20"/>
                <w:szCs w:val="20"/>
              </w:rPr>
            </w:pPr>
            <w:r w:rsidRPr="00254FFE">
              <w:rPr>
                <w:b/>
                <w:sz w:val="20"/>
              </w:rPr>
              <w:t>Организатор электронных торгов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713" w14:textId="6CFDB469" w:rsidR="00254FFE" w:rsidRPr="007C755F" w:rsidRDefault="00254FFE" w:rsidP="00254FFE">
            <w:pPr>
              <w:suppressAutoHyphens/>
              <w:ind w:right="-82"/>
              <w:jc w:val="both"/>
              <w:rPr>
                <w:sz w:val="20"/>
                <w:szCs w:val="20"/>
              </w:rPr>
            </w:pPr>
            <w:r w:rsidRPr="00CD0DD2">
              <w:rPr>
                <w:sz w:val="20"/>
                <w:szCs w:val="20"/>
              </w:rPr>
              <w:t>ЗАО «Центр промышленной оценки»</w:t>
            </w:r>
            <w:r w:rsidRPr="007C755F">
              <w:rPr>
                <w:sz w:val="20"/>
                <w:szCs w:val="20"/>
              </w:rPr>
              <w:t xml:space="preserve">, г. Минск, ул. </w:t>
            </w:r>
            <w:proofErr w:type="spellStart"/>
            <w:r w:rsidRPr="007C755F">
              <w:rPr>
                <w:sz w:val="20"/>
                <w:szCs w:val="20"/>
              </w:rPr>
              <w:t>Мележа</w:t>
            </w:r>
            <w:proofErr w:type="spellEnd"/>
            <w:r w:rsidRPr="007C755F">
              <w:rPr>
                <w:sz w:val="20"/>
                <w:szCs w:val="20"/>
              </w:rPr>
              <w:t>, 5, корп. 2, пом. 1703</w:t>
            </w:r>
          </w:p>
        </w:tc>
      </w:tr>
      <w:tr w:rsidR="00254FFE" w:rsidRPr="007C755F" w14:paraId="289C3BA1" w14:textId="77777777" w:rsidTr="00F168C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9510E4" w14:textId="28046EC7" w:rsidR="00254FFE" w:rsidRPr="00254FFE" w:rsidRDefault="00254FFE" w:rsidP="00254FFE">
            <w:pPr>
              <w:suppressAutoHyphens/>
              <w:ind w:right="-82"/>
              <w:jc w:val="both"/>
              <w:rPr>
                <w:b/>
                <w:sz w:val="20"/>
                <w:szCs w:val="20"/>
              </w:rPr>
            </w:pPr>
            <w:r w:rsidRPr="00254FFE">
              <w:rPr>
                <w:b/>
                <w:sz w:val="20"/>
              </w:rPr>
              <w:t>Продавец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5AC34" w14:textId="4C5D2955" w:rsidR="00254FFE" w:rsidRPr="007C755F" w:rsidRDefault="00254FFE" w:rsidP="00254FFE">
            <w:pPr>
              <w:suppressAutoHyphens/>
              <w:ind w:right="-82"/>
              <w:jc w:val="both"/>
              <w:rPr>
                <w:sz w:val="20"/>
                <w:szCs w:val="20"/>
              </w:rPr>
            </w:pPr>
            <w:r w:rsidRPr="00CD0DD2">
              <w:rPr>
                <w:sz w:val="20"/>
                <w:szCs w:val="20"/>
              </w:rPr>
              <w:t>ГУКДСП «Горецкая ПМК № 1»</w:t>
            </w:r>
            <w:r>
              <w:rPr>
                <w:sz w:val="20"/>
                <w:szCs w:val="20"/>
              </w:rPr>
              <w:t xml:space="preserve">, </w:t>
            </w:r>
            <w:r w:rsidRPr="00CD0DD2">
              <w:rPr>
                <w:sz w:val="20"/>
                <w:szCs w:val="20"/>
              </w:rPr>
              <w:t>Могилевская область, г. Горки</w:t>
            </w:r>
            <w:r>
              <w:rPr>
                <w:sz w:val="20"/>
                <w:szCs w:val="20"/>
              </w:rPr>
              <w:t>,</w:t>
            </w:r>
            <w:r w:rsidR="008F6055">
              <w:rPr>
                <w:sz w:val="20"/>
                <w:szCs w:val="20"/>
              </w:rPr>
              <w:t xml:space="preserve"> ул. Советская, д. 9.</w:t>
            </w:r>
            <w:r w:rsidRPr="00CD0DD2">
              <w:rPr>
                <w:sz w:val="20"/>
                <w:szCs w:val="20"/>
              </w:rPr>
              <w:t xml:space="preserve"> </w:t>
            </w:r>
          </w:p>
        </w:tc>
      </w:tr>
      <w:tr w:rsidR="00254FFE" w:rsidRPr="007C755F" w14:paraId="25243F07" w14:textId="77777777" w:rsidTr="00F168C1"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96D3F6" w14:textId="0A02C9CD" w:rsidR="00254FFE" w:rsidRPr="00254FFE" w:rsidRDefault="00254FFE" w:rsidP="00254FFE">
            <w:pPr>
              <w:suppressAutoHyphens/>
              <w:ind w:right="-82"/>
              <w:jc w:val="both"/>
              <w:rPr>
                <w:b/>
                <w:sz w:val="20"/>
                <w:szCs w:val="20"/>
              </w:rPr>
            </w:pPr>
            <w:r w:rsidRPr="00254FFE">
              <w:rPr>
                <w:b/>
                <w:sz w:val="20"/>
              </w:rPr>
              <w:t>Оператор ЭТП: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E767B" w14:textId="416E61C0" w:rsidR="00254FFE" w:rsidRPr="00CD0DD2" w:rsidRDefault="00254FFE" w:rsidP="00254FFE">
            <w:pPr>
              <w:suppressAutoHyphens/>
              <w:ind w:right="-82"/>
              <w:jc w:val="both"/>
              <w:rPr>
                <w:sz w:val="20"/>
                <w:szCs w:val="20"/>
              </w:rPr>
            </w:pPr>
            <w:r w:rsidRPr="00254FFE">
              <w:rPr>
                <w:sz w:val="20"/>
                <w:szCs w:val="21"/>
              </w:rPr>
              <w:t>ООО «ИПМ-</w:t>
            </w:r>
            <w:proofErr w:type="spellStart"/>
            <w:r w:rsidRPr="00254FFE">
              <w:rPr>
                <w:sz w:val="20"/>
                <w:szCs w:val="21"/>
              </w:rPr>
              <w:t>Консалт</w:t>
            </w:r>
            <w:proofErr w:type="spellEnd"/>
            <w:r w:rsidRPr="00254FFE">
              <w:rPr>
                <w:sz w:val="20"/>
                <w:szCs w:val="21"/>
              </w:rPr>
              <w:t xml:space="preserve"> оценка», г. Минск, ул. </w:t>
            </w:r>
            <w:proofErr w:type="spellStart"/>
            <w:r w:rsidRPr="00254FFE">
              <w:rPr>
                <w:sz w:val="20"/>
                <w:szCs w:val="21"/>
              </w:rPr>
              <w:t>Мележа</w:t>
            </w:r>
            <w:proofErr w:type="spellEnd"/>
            <w:r w:rsidRPr="00254FFE">
              <w:rPr>
                <w:sz w:val="20"/>
                <w:szCs w:val="21"/>
              </w:rPr>
              <w:t xml:space="preserve">, 5/2, пом. 1703. Адрес ЭТП: </w:t>
            </w:r>
            <w:hyperlink r:id="rId5" w:history="1">
              <w:r w:rsidRPr="00254FFE">
                <w:rPr>
                  <w:rStyle w:val="a3"/>
                  <w:sz w:val="20"/>
                  <w:szCs w:val="21"/>
                </w:rPr>
                <w:t>www.ipmtorgi.by</w:t>
              </w:r>
            </w:hyperlink>
            <w:r w:rsidRPr="00254FFE">
              <w:rPr>
                <w:sz w:val="20"/>
                <w:szCs w:val="21"/>
              </w:rPr>
              <w:t xml:space="preserve"> </w:t>
            </w:r>
          </w:p>
        </w:tc>
      </w:tr>
    </w:tbl>
    <w:tbl>
      <w:tblPr>
        <w:tblStyle w:val="ac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5528"/>
        <w:gridCol w:w="992"/>
        <w:gridCol w:w="1560"/>
        <w:gridCol w:w="1275"/>
      </w:tblGrid>
      <w:tr w:rsidR="00F168C1" w:rsidRPr="007C755F" w14:paraId="33D7CD72" w14:textId="0EBC5978" w:rsidTr="00F168C1">
        <w:tc>
          <w:tcPr>
            <w:tcW w:w="9810" w:type="dxa"/>
            <w:gridSpan w:val="5"/>
            <w:shd w:val="clear" w:color="auto" w:fill="F2F2F2" w:themeFill="background1" w:themeFillShade="F2"/>
            <w:vAlign w:val="center"/>
          </w:tcPr>
          <w:p w14:paraId="68EA6CCC" w14:textId="55E56DDC" w:rsidR="00F168C1" w:rsidRDefault="00F168C1" w:rsidP="00E07D8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Предмет электронных торгов:</w:t>
            </w:r>
            <w:r>
              <w:rPr>
                <w:b/>
                <w:sz w:val="20"/>
                <w:szCs w:val="22"/>
              </w:rPr>
              <w:t xml:space="preserve"> </w:t>
            </w:r>
            <w:r w:rsidRPr="00F66096">
              <w:rPr>
                <w:b/>
                <w:sz w:val="20"/>
                <w:szCs w:val="22"/>
              </w:rPr>
              <w:t>недвижимо</w:t>
            </w:r>
            <w:r>
              <w:rPr>
                <w:b/>
                <w:sz w:val="20"/>
                <w:szCs w:val="22"/>
              </w:rPr>
              <w:t>е</w:t>
            </w:r>
            <w:r w:rsidRPr="00F66096">
              <w:rPr>
                <w:b/>
                <w:sz w:val="20"/>
                <w:szCs w:val="22"/>
              </w:rPr>
              <w:t xml:space="preserve"> имуществ</w:t>
            </w:r>
            <w:r>
              <w:rPr>
                <w:b/>
                <w:sz w:val="20"/>
                <w:szCs w:val="22"/>
              </w:rPr>
              <w:t>о.</w:t>
            </w:r>
          </w:p>
          <w:p w14:paraId="0CA8692E" w14:textId="2560B421" w:rsidR="00F168C1" w:rsidRPr="007C755F" w:rsidRDefault="00F168C1" w:rsidP="00E07D8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 xml:space="preserve"> Местоположение: </w:t>
            </w:r>
            <w:r w:rsidRPr="00D16AD8">
              <w:rPr>
                <w:b/>
                <w:sz w:val="20"/>
                <w:szCs w:val="22"/>
              </w:rPr>
              <w:t>Могилевская обл., Г</w:t>
            </w:r>
            <w:r>
              <w:rPr>
                <w:b/>
                <w:sz w:val="20"/>
                <w:szCs w:val="22"/>
              </w:rPr>
              <w:t>орецкий р-н, г. Горки, ул. Мира.</w:t>
            </w:r>
          </w:p>
        </w:tc>
      </w:tr>
      <w:tr w:rsidR="00F168C1" w:rsidRPr="007C755F" w14:paraId="54AF6A57" w14:textId="0B6F6513" w:rsidTr="006C13C7">
        <w:tc>
          <w:tcPr>
            <w:tcW w:w="455" w:type="dxa"/>
            <w:shd w:val="clear" w:color="auto" w:fill="F2F2F2" w:themeFill="background1" w:themeFillShade="F2"/>
            <w:vAlign w:val="center"/>
          </w:tcPr>
          <w:p w14:paraId="5067FA03" w14:textId="31FFAC47" w:rsidR="00F168C1" w:rsidRDefault="00F168C1" w:rsidP="001122AB">
            <w:pPr>
              <w:ind w:left="-82" w:right="-102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D0F189F" w14:textId="045A0778" w:rsidR="00F168C1" w:rsidRDefault="00F168C1" w:rsidP="00254FFE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(назначение)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1E0385" w14:textId="77777777" w:rsidR="00F168C1" w:rsidRPr="00D16AD8" w:rsidRDefault="00F168C1" w:rsidP="001122AB">
            <w:pPr>
              <w:ind w:left="-103" w:right="-107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D16AD8">
              <w:rPr>
                <w:b/>
                <w:color w:val="0D0D0D" w:themeColor="text1" w:themeTint="F2"/>
                <w:sz w:val="20"/>
                <w:szCs w:val="20"/>
              </w:rPr>
              <w:t xml:space="preserve">Адрес (№ </w:t>
            </w:r>
          </w:p>
          <w:p w14:paraId="3FEF3585" w14:textId="2679F82F" w:rsidR="00F168C1" w:rsidRDefault="00F168C1" w:rsidP="00B21E32">
            <w:pPr>
              <w:ind w:left="-113" w:right="-107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D16AD8">
              <w:rPr>
                <w:b/>
                <w:color w:val="0D0D0D" w:themeColor="text1" w:themeTint="F2"/>
                <w:sz w:val="20"/>
                <w:szCs w:val="20"/>
              </w:rPr>
              <w:t>дома)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5E09B37" w14:textId="23BF2B0B" w:rsidR="00F168C1" w:rsidRDefault="00F168C1" w:rsidP="001122AB">
            <w:pPr>
              <w:ind w:left="-107" w:right="-12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Начальная цена без НДС, </w:t>
            </w:r>
            <w:r w:rsidRPr="001A1865">
              <w:rPr>
                <w:b/>
                <w:bCs/>
                <w:sz w:val="20"/>
                <w:szCs w:val="20"/>
              </w:rPr>
              <w:t>бел. руб.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B8540D3" w14:textId="642C6C29" w:rsidR="00F168C1" w:rsidRDefault="00F168C1" w:rsidP="006C13C7">
            <w:pPr>
              <w:ind w:left="-107" w:right="-128"/>
              <w:jc w:val="center"/>
              <w:rPr>
                <w:b/>
                <w:bCs/>
                <w:sz w:val="20"/>
                <w:szCs w:val="20"/>
              </w:rPr>
            </w:pPr>
            <w:r w:rsidRPr="00F168C1">
              <w:rPr>
                <w:b/>
                <w:bCs/>
                <w:sz w:val="20"/>
                <w:szCs w:val="20"/>
              </w:rPr>
              <w:t xml:space="preserve">Шаг </w:t>
            </w:r>
            <w:r>
              <w:rPr>
                <w:b/>
                <w:bCs/>
                <w:sz w:val="20"/>
                <w:szCs w:val="20"/>
              </w:rPr>
              <w:t>торгов</w:t>
            </w:r>
            <w:r w:rsidRPr="00F168C1">
              <w:rPr>
                <w:b/>
                <w:bCs/>
                <w:sz w:val="20"/>
                <w:szCs w:val="20"/>
              </w:rPr>
              <w:t>, бел. руб.</w:t>
            </w:r>
          </w:p>
        </w:tc>
      </w:tr>
      <w:tr w:rsidR="006C13C7" w:rsidRPr="007C755F" w14:paraId="5C99B152" w14:textId="5214BDF6" w:rsidTr="006C13C7">
        <w:tc>
          <w:tcPr>
            <w:tcW w:w="455" w:type="dxa"/>
            <w:vMerge w:val="restart"/>
            <w:shd w:val="clear" w:color="auto" w:fill="auto"/>
            <w:vAlign w:val="center"/>
          </w:tcPr>
          <w:p w14:paraId="3CD21EDB" w14:textId="4BFEECF7" w:rsidR="006C13C7" w:rsidRPr="001122AB" w:rsidRDefault="006C13C7" w:rsidP="00A924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122AB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EB95D5" w14:textId="154D1C5C" w:rsidR="006C13C7" w:rsidRDefault="006C13C7" w:rsidP="00F8059E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763C87">
              <w:rPr>
                <w:b/>
                <w:bCs/>
                <w:sz w:val="20"/>
                <w:szCs w:val="20"/>
              </w:rPr>
              <w:t xml:space="preserve">Гаражи </w:t>
            </w:r>
            <w:r w:rsidRPr="00763C87">
              <w:rPr>
                <w:bCs/>
                <w:sz w:val="20"/>
                <w:szCs w:val="20"/>
              </w:rPr>
              <w:t>(здание неустановленного назначения)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 w:rsidRPr="00763C87">
              <w:rPr>
                <w:bCs/>
                <w:sz w:val="20"/>
                <w:szCs w:val="20"/>
              </w:rPr>
              <w:t xml:space="preserve">67,3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2040C7">
              <w:rPr>
                <w:bCs/>
                <w:sz w:val="20"/>
                <w:szCs w:val="20"/>
              </w:rPr>
              <w:t xml:space="preserve">, инв. </w:t>
            </w:r>
            <w:r>
              <w:rPr>
                <w:bCs/>
                <w:sz w:val="20"/>
                <w:szCs w:val="20"/>
              </w:rPr>
              <w:t>н</w:t>
            </w:r>
            <w:r w:rsidRPr="002040C7">
              <w:rPr>
                <w:bCs/>
                <w:sz w:val="20"/>
                <w:szCs w:val="20"/>
              </w:rPr>
              <w:t>омер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3C87">
              <w:rPr>
                <w:bCs/>
                <w:sz w:val="20"/>
                <w:szCs w:val="20"/>
              </w:rPr>
              <w:t>720/C-17060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69751" w14:textId="7926A6CA" w:rsidR="006C13C7" w:rsidRPr="00D16AD8" w:rsidRDefault="006C13C7" w:rsidP="00C00D0B">
            <w:pPr>
              <w:ind w:left="-113" w:right="-107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AD8">
              <w:rPr>
                <w:color w:val="0D0D0D" w:themeColor="text1" w:themeTint="F2"/>
                <w:sz w:val="20"/>
                <w:szCs w:val="20"/>
              </w:rPr>
              <w:t>57Б/2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617DD83" w14:textId="472946E8" w:rsidR="006C13C7" w:rsidRPr="005E31D9" w:rsidRDefault="006C13C7" w:rsidP="005E31D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E31D9">
              <w:rPr>
                <w:color w:val="0D0D0D" w:themeColor="text1" w:themeTint="F2"/>
                <w:sz w:val="20"/>
                <w:szCs w:val="20"/>
              </w:rPr>
              <w:t>40</w:t>
            </w:r>
            <w:r>
              <w:rPr>
                <w:color w:val="0D0D0D" w:themeColor="text1" w:themeTint="F2"/>
                <w:sz w:val="20"/>
                <w:szCs w:val="20"/>
              </w:rPr>
              <w:t> </w:t>
            </w:r>
            <w:r w:rsidRPr="005E31D9">
              <w:rPr>
                <w:color w:val="0D0D0D" w:themeColor="text1" w:themeTint="F2"/>
                <w:sz w:val="20"/>
                <w:szCs w:val="20"/>
              </w:rPr>
              <w:t>300</w:t>
            </w:r>
            <w:r>
              <w:rPr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00C86202" w14:textId="1DCCBB7F" w:rsidR="006C13C7" w:rsidRPr="005E31D9" w:rsidRDefault="001238E5" w:rsidP="006C13C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2 015,00</w:t>
            </w:r>
          </w:p>
        </w:tc>
      </w:tr>
      <w:tr w:rsidR="006C13C7" w:rsidRPr="007C755F" w14:paraId="40D767DE" w14:textId="22649FD3" w:rsidTr="006C13C7">
        <w:tc>
          <w:tcPr>
            <w:tcW w:w="455" w:type="dxa"/>
            <w:vMerge/>
            <w:shd w:val="clear" w:color="auto" w:fill="auto"/>
            <w:vAlign w:val="center"/>
          </w:tcPr>
          <w:p w14:paraId="23555CFC" w14:textId="77777777" w:rsidR="006C13C7" w:rsidRDefault="006C13C7" w:rsidP="00A92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449E8FF" w14:textId="5697FB81" w:rsidR="006C13C7" w:rsidRPr="002040C7" w:rsidRDefault="006C13C7" w:rsidP="00D16AD8">
            <w:pPr>
              <w:rPr>
                <w:b/>
                <w:bCs/>
                <w:sz w:val="20"/>
                <w:szCs w:val="20"/>
              </w:rPr>
            </w:pPr>
            <w:r w:rsidRPr="00D16AD8">
              <w:rPr>
                <w:b/>
                <w:bCs/>
                <w:sz w:val="20"/>
                <w:szCs w:val="20"/>
              </w:rPr>
              <w:t xml:space="preserve">Мастерские </w:t>
            </w:r>
            <w:r w:rsidRPr="00D16AD8">
              <w:rPr>
                <w:bCs/>
                <w:sz w:val="20"/>
                <w:szCs w:val="20"/>
              </w:rPr>
              <w:t xml:space="preserve">(здание неустановленного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277,5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 xml:space="preserve">., </w:t>
            </w:r>
            <w:r w:rsidRPr="002040C7">
              <w:rPr>
                <w:bCs/>
                <w:sz w:val="20"/>
                <w:szCs w:val="20"/>
              </w:rPr>
              <w:t xml:space="preserve">инв. </w:t>
            </w:r>
            <w:r>
              <w:rPr>
                <w:bCs/>
                <w:sz w:val="20"/>
                <w:szCs w:val="20"/>
              </w:rPr>
              <w:t xml:space="preserve">номер </w:t>
            </w:r>
            <w:r w:rsidRPr="00D16AD8">
              <w:rPr>
                <w:bCs/>
                <w:sz w:val="20"/>
                <w:szCs w:val="20"/>
              </w:rPr>
              <w:t>720/C-17061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D01AC" w14:textId="28621CB1" w:rsidR="006C13C7" w:rsidRPr="00D16AD8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D16AD8">
              <w:rPr>
                <w:bCs/>
                <w:sz w:val="20"/>
                <w:szCs w:val="20"/>
              </w:rPr>
              <w:t>57Б/1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95D9F5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95424DE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1DBD5CFA" w14:textId="7C171500" w:rsidTr="006C13C7">
        <w:tc>
          <w:tcPr>
            <w:tcW w:w="455" w:type="dxa"/>
            <w:vMerge/>
            <w:shd w:val="clear" w:color="auto" w:fill="auto"/>
            <w:vAlign w:val="center"/>
          </w:tcPr>
          <w:p w14:paraId="0AA95307" w14:textId="77777777" w:rsidR="006C13C7" w:rsidRDefault="006C13C7" w:rsidP="00A92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D3B3C0E" w14:textId="377FCF4A" w:rsidR="006C13C7" w:rsidRPr="002040C7" w:rsidRDefault="006C13C7" w:rsidP="00901A8A">
            <w:pPr>
              <w:rPr>
                <w:b/>
                <w:bCs/>
                <w:sz w:val="20"/>
                <w:szCs w:val="20"/>
              </w:rPr>
            </w:pPr>
            <w:r w:rsidRPr="00D16AD8">
              <w:rPr>
                <w:b/>
                <w:bCs/>
                <w:sz w:val="20"/>
                <w:szCs w:val="20"/>
              </w:rPr>
              <w:t xml:space="preserve">Здание жестянщика </w:t>
            </w:r>
            <w:r w:rsidRPr="00D16AD8">
              <w:rPr>
                <w:bCs/>
                <w:sz w:val="20"/>
                <w:szCs w:val="20"/>
              </w:rPr>
              <w:t xml:space="preserve">(здание неустановленного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30,1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 xml:space="preserve">., </w:t>
            </w:r>
            <w:r w:rsidRPr="002040C7">
              <w:rPr>
                <w:bCs/>
                <w:sz w:val="20"/>
                <w:szCs w:val="20"/>
              </w:rPr>
              <w:t xml:space="preserve">инв. </w:t>
            </w:r>
            <w:r>
              <w:rPr>
                <w:bCs/>
                <w:sz w:val="20"/>
                <w:szCs w:val="20"/>
              </w:rPr>
              <w:t xml:space="preserve">номер  </w:t>
            </w:r>
            <w:r w:rsidRPr="00D16AD8">
              <w:rPr>
                <w:bCs/>
                <w:sz w:val="20"/>
                <w:szCs w:val="20"/>
              </w:rPr>
              <w:t>720/C-20914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2DEC8" w14:textId="5C6E7A28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1122AB">
              <w:rPr>
                <w:bCs/>
                <w:sz w:val="20"/>
                <w:szCs w:val="20"/>
              </w:rPr>
              <w:t>57Б/15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6895637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C8D99F9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56255472" w14:textId="7F58B627" w:rsidTr="006C13C7">
        <w:tc>
          <w:tcPr>
            <w:tcW w:w="455" w:type="dxa"/>
            <w:vMerge w:val="restart"/>
            <w:shd w:val="clear" w:color="auto" w:fill="auto"/>
            <w:vAlign w:val="center"/>
          </w:tcPr>
          <w:p w14:paraId="3ADCCA08" w14:textId="5F1172B2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3F5F9C" w14:textId="0BE3E813" w:rsidR="006C13C7" w:rsidRPr="00254FFE" w:rsidRDefault="006C13C7" w:rsidP="00D16AD8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 xml:space="preserve">Теплица </w:t>
            </w:r>
            <w:r w:rsidRPr="00254FFE">
              <w:rPr>
                <w:bCs/>
                <w:sz w:val="20"/>
                <w:szCs w:val="20"/>
              </w:rPr>
              <w:t xml:space="preserve">(здание неустановленного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83,3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3C12E" w14:textId="4D6FC015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FD45BB">
              <w:rPr>
                <w:bCs/>
                <w:sz w:val="20"/>
                <w:szCs w:val="20"/>
              </w:rPr>
              <w:t>57Б/13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F56F5ED" w14:textId="45DD6D8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49 700,00</w:t>
            </w:r>
          </w:p>
        </w:tc>
        <w:tc>
          <w:tcPr>
            <w:tcW w:w="1275" w:type="dxa"/>
            <w:vMerge w:val="restart"/>
            <w:vAlign w:val="center"/>
          </w:tcPr>
          <w:p w14:paraId="0950E810" w14:textId="2D3E7577" w:rsidR="006C13C7" w:rsidRDefault="001238E5" w:rsidP="006C13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2 485,00</w:t>
            </w:r>
          </w:p>
        </w:tc>
      </w:tr>
      <w:tr w:rsidR="006C13C7" w:rsidRPr="007C755F" w14:paraId="1E5F4B14" w14:textId="7FE364E2" w:rsidTr="006C13C7">
        <w:tc>
          <w:tcPr>
            <w:tcW w:w="455" w:type="dxa"/>
            <w:vMerge/>
            <w:shd w:val="clear" w:color="auto" w:fill="auto"/>
            <w:vAlign w:val="center"/>
          </w:tcPr>
          <w:p w14:paraId="43D85234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CD67FA9" w14:textId="6CEDD3FD" w:rsidR="006C13C7" w:rsidRPr="00254FFE" w:rsidRDefault="006C13C7" w:rsidP="00D16AD8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Бытовка</w:t>
            </w:r>
            <w:r w:rsidRPr="00254FFE">
              <w:rPr>
                <w:bCs/>
                <w:sz w:val="20"/>
                <w:szCs w:val="20"/>
              </w:rPr>
              <w:t xml:space="preserve"> (здание неустановленного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28,7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C7061" w14:textId="23B790DF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FD45BB">
              <w:rPr>
                <w:bCs/>
                <w:sz w:val="20"/>
                <w:szCs w:val="20"/>
              </w:rPr>
              <w:t>57Б/12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A007FD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A21F59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0309A410" w14:textId="53996CE0" w:rsidTr="006C13C7">
        <w:tc>
          <w:tcPr>
            <w:tcW w:w="455" w:type="dxa"/>
            <w:vMerge/>
            <w:shd w:val="clear" w:color="auto" w:fill="auto"/>
            <w:vAlign w:val="center"/>
          </w:tcPr>
          <w:p w14:paraId="478C802F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41E6AD4" w14:textId="10EB1899" w:rsidR="006C13C7" w:rsidRPr="00254FFE" w:rsidRDefault="006C13C7" w:rsidP="008007EF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Сварочная</w:t>
            </w:r>
            <w:r w:rsidRPr="00254FFE">
              <w:rPr>
                <w:bCs/>
                <w:sz w:val="20"/>
                <w:szCs w:val="20"/>
              </w:rPr>
              <w:t xml:space="preserve"> (здание неустановленного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31,7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54C76" w14:textId="2ED9634E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FD45BB">
              <w:rPr>
                <w:bCs/>
                <w:sz w:val="20"/>
                <w:szCs w:val="20"/>
              </w:rPr>
              <w:t>57Б/14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6833809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FF2BB85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5B9A029F" w14:textId="5E10B79A" w:rsidTr="006C13C7">
        <w:tc>
          <w:tcPr>
            <w:tcW w:w="455" w:type="dxa"/>
            <w:vMerge/>
            <w:shd w:val="clear" w:color="auto" w:fill="auto"/>
            <w:vAlign w:val="center"/>
          </w:tcPr>
          <w:p w14:paraId="4AFB115A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CD57CA5" w14:textId="01FAE8B6" w:rsidR="006C13C7" w:rsidRPr="00254FFE" w:rsidRDefault="006C13C7" w:rsidP="00FD45BB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Гараж</w:t>
            </w:r>
            <w:r w:rsidRPr="00254FFE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Pr="00254FFE">
              <w:rPr>
                <w:bCs/>
                <w:sz w:val="20"/>
                <w:szCs w:val="20"/>
              </w:rPr>
              <w:t>здание</w:t>
            </w:r>
            <w:proofErr w:type="gramEnd"/>
            <w:r w:rsidRPr="00254FFE">
              <w:rPr>
                <w:bCs/>
                <w:sz w:val="20"/>
                <w:szCs w:val="20"/>
              </w:rPr>
              <w:t xml:space="preserve"> специализированное автомобильного транспорта)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 99,6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B7C57" w14:textId="3111DF73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FD45BB">
              <w:rPr>
                <w:bCs/>
                <w:sz w:val="20"/>
                <w:szCs w:val="20"/>
              </w:rPr>
              <w:t>57Б/4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7DEA80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2608A6D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1373CE21" w14:textId="0CAB5EA1" w:rsidTr="006C13C7">
        <w:tc>
          <w:tcPr>
            <w:tcW w:w="455" w:type="dxa"/>
            <w:vMerge/>
            <w:shd w:val="clear" w:color="auto" w:fill="auto"/>
            <w:vAlign w:val="center"/>
          </w:tcPr>
          <w:p w14:paraId="468CE914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6D66DD9" w14:textId="4BB06CD7" w:rsidR="006C13C7" w:rsidRPr="00254FFE" w:rsidRDefault="006C13C7" w:rsidP="008007EF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Здание котельной</w:t>
            </w:r>
            <w:r w:rsidRPr="00254FFE">
              <w:rPr>
                <w:bCs/>
                <w:sz w:val="20"/>
                <w:szCs w:val="20"/>
              </w:rPr>
              <w:t xml:space="preserve"> (здание специализированное складов, торговых баз, баз материально-технического снабжения, хранилищ)</w:t>
            </w:r>
            <w:r w:rsidRPr="00254FFE">
              <w:t xml:space="preserve">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179,1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720/C-17040</w:t>
            </w:r>
            <w:r>
              <w:rPr>
                <w:bCs/>
                <w:sz w:val="20"/>
                <w:szCs w:val="20"/>
              </w:rPr>
              <w:t>, с</w:t>
            </w:r>
            <w:r w:rsidRPr="00254FFE">
              <w:rPr>
                <w:bCs/>
                <w:sz w:val="20"/>
                <w:szCs w:val="20"/>
              </w:rPr>
              <w:t>оставные части и принадлежности: Мазутная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0DF8C" w14:textId="36A37276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FD45BB">
              <w:rPr>
                <w:bCs/>
                <w:sz w:val="20"/>
                <w:szCs w:val="20"/>
              </w:rPr>
              <w:t>57Б/3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CCBCCC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559F09A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5D26EC2E" w14:textId="066FFA92" w:rsidTr="006C13C7">
        <w:tc>
          <w:tcPr>
            <w:tcW w:w="455" w:type="dxa"/>
            <w:vMerge w:val="restart"/>
            <w:shd w:val="clear" w:color="auto" w:fill="auto"/>
            <w:vAlign w:val="center"/>
          </w:tcPr>
          <w:p w14:paraId="712580F6" w14:textId="3DE58643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D15E9E" w14:textId="6CBBAA0F" w:rsidR="006C13C7" w:rsidRPr="00254FFE" w:rsidRDefault="006C13C7" w:rsidP="00D16AD8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Механические мастерские с гаражом</w:t>
            </w:r>
            <w:r w:rsidRPr="00254FFE">
              <w:rPr>
                <w:bCs/>
                <w:sz w:val="20"/>
                <w:szCs w:val="20"/>
              </w:rPr>
              <w:t xml:space="preserve"> (здание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352,6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7B9F9" w14:textId="1B80DAD0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B43938">
              <w:rPr>
                <w:bCs/>
                <w:sz w:val="20"/>
                <w:szCs w:val="20"/>
              </w:rPr>
              <w:t>57Б/6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41678D9" w14:textId="209664E0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49 700,00</w:t>
            </w:r>
          </w:p>
        </w:tc>
        <w:tc>
          <w:tcPr>
            <w:tcW w:w="1275" w:type="dxa"/>
            <w:vMerge w:val="restart"/>
            <w:vAlign w:val="center"/>
          </w:tcPr>
          <w:p w14:paraId="10EC767A" w14:textId="1900A50E" w:rsidR="006C13C7" w:rsidRDefault="001238E5" w:rsidP="006C13C7">
            <w:pPr>
              <w:jc w:val="center"/>
              <w:rPr>
                <w:bCs/>
                <w:sz w:val="20"/>
                <w:szCs w:val="20"/>
              </w:rPr>
            </w:pPr>
            <w:r w:rsidRPr="001238E5">
              <w:rPr>
                <w:bCs/>
                <w:sz w:val="20"/>
                <w:szCs w:val="20"/>
              </w:rPr>
              <w:t>2 485,00</w:t>
            </w:r>
          </w:p>
        </w:tc>
      </w:tr>
      <w:tr w:rsidR="006C13C7" w:rsidRPr="007C755F" w14:paraId="21EBD05E" w14:textId="5A89EC14" w:rsidTr="006C13C7">
        <w:tc>
          <w:tcPr>
            <w:tcW w:w="455" w:type="dxa"/>
            <w:vMerge/>
            <w:shd w:val="clear" w:color="auto" w:fill="auto"/>
            <w:vAlign w:val="center"/>
          </w:tcPr>
          <w:p w14:paraId="0EB99981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142B46C" w14:textId="7074C86C" w:rsidR="006C13C7" w:rsidRPr="00254FFE" w:rsidRDefault="006C13C7" w:rsidP="00B43938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Компрессорная</w:t>
            </w:r>
            <w:r w:rsidRPr="00254FFE">
              <w:rPr>
                <w:bCs/>
                <w:sz w:val="20"/>
                <w:szCs w:val="20"/>
              </w:rPr>
              <w:t xml:space="preserve"> (здание неустановленного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65,9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03C71" w14:textId="7ABBF193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B43938">
              <w:rPr>
                <w:bCs/>
                <w:sz w:val="20"/>
                <w:szCs w:val="20"/>
              </w:rPr>
              <w:t>57Б/5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EBB782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8329939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701ACB1C" w14:textId="482D175E" w:rsidTr="006C13C7">
        <w:tc>
          <w:tcPr>
            <w:tcW w:w="455" w:type="dxa"/>
            <w:vMerge w:val="restart"/>
            <w:shd w:val="clear" w:color="auto" w:fill="auto"/>
            <w:vAlign w:val="center"/>
          </w:tcPr>
          <w:p w14:paraId="765719BD" w14:textId="4C434598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83701C" w14:textId="1C695914" w:rsidR="006C13C7" w:rsidRPr="00254FFE" w:rsidRDefault="006C13C7" w:rsidP="00E159B2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Столярный цех</w:t>
            </w:r>
            <w:r w:rsidRPr="00254FFE">
              <w:rPr>
                <w:bCs/>
                <w:sz w:val="20"/>
                <w:szCs w:val="20"/>
              </w:rPr>
              <w:t xml:space="preserve"> (здание специализированное для обработки древесины и производства изделий из дерева, включая мебель)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744,3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720/C-17046</w:t>
            </w:r>
            <w:r>
              <w:rPr>
                <w:bCs/>
                <w:sz w:val="20"/>
                <w:szCs w:val="20"/>
              </w:rPr>
              <w:t>, с</w:t>
            </w:r>
            <w:r w:rsidRPr="00254FFE">
              <w:rPr>
                <w:bCs/>
                <w:sz w:val="20"/>
                <w:szCs w:val="20"/>
              </w:rPr>
              <w:t xml:space="preserve">оставные части и принадлежности: </w:t>
            </w:r>
            <w:r>
              <w:rPr>
                <w:bCs/>
                <w:sz w:val="20"/>
                <w:szCs w:val="20"/>
              </w:rPr>
              <w:t>с</w:t>
            </w:r>
            <w:r w:rsidRPr="00254FFE">
              <w:rPr>
                <w:bCs/>
                <w:sz w:val="20"/>
                <w:szCs w:val="20"/>
              </w:rPr>
              <w:t>клад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08CCE" w14:textId="3A87ACFC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B43938">
              <w:rPr>
                <w:bCs/>
                <w:sz w:val="20"/>
                <w:szCs w:val="20"/>
              </w:rPr>
              <w:t>57Б/9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D6A23D" w14:textId="790B2170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71 300,00</w:t>
            </w:r>
          </w:p>
        </w:tc>
        <w:tc>
          <w:tcPr>
            <w:tcW w:w="1275" w:type="dxa"/>
            <w:vMerge w:val="restart"/>
            <w:vAlign w:val="center"/>
          </w:tcPr>
          <w:p w14:paraId="04E64E23" w14:textId="66E2E840" w:rsidR="006C13C7" w:rsidRDefault="001238E5" w:rsidP="006C13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3 565,00</w:t>
            </w:r>
          </w:p>
        </w:tc>
      </w:tr>
      <w:tr w:rsidR="006C13C7" w:rsidRPr="007C755F" w14:paraId="580B8518" w14:textId="12505827" w:rsidTr="006C13C7">
        <w:tc>
          <w:tcPr>
            <w:tcW w:w="455" w:type="dxa"/>
            <w:vMerge/>
            <w:shd w:val="clear" w:color="auto" w:fill="auto"/>
            <w:vAlign w:val="center"/>
          </w:tcPr>
          <w:p w14:paraId="48C56112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729BE83" w14:textId="59478838" w:rsidR="006C13C7" w:rsidRPr="00254FFE" w:rsidRDefault="006C13C7" w:rsidP="00E159B2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Сушилка</w:t>
            </w:r>
            <w:r w:rsidRPr="00254FFE">
              <w:rPr>
                <w:bCs/>
                <w:sz w:val="20"/>
                <w:szCs w:val="20"/>
              </w:rPr>
              <w:t xml:space="preserve"> (здание специализированное складов, торговых баз, баз материально-технического снабжения, хранилищ)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79,6 </w:t>
            </w:r>
            <w:proofErr w:type="spellStart"/>
            <w:r w:rsidRPr="0031527A">
              <w:rPr>
                <w:bCs/>
                <w:sz w:val="20"/>
                <w:szCs w:val="20"/>
              </w:rPr>
              <w:t>м.кв</w:t>
            </w:r>
            <w:proofErr w:type="spellEnd"/>
            <w:r w:rsidRPr="0031527A">
              <w:rPr>
                <w:bCs/>
                <w:sz w:val="20"/>
                <w:szCs w:val="20"/>
              </w:rPr>
              <w:t xml:space="preserve">., </w:t>
            </w:r>
            <w:r w:rsidRPr="00254FFE">
              <w:rPr>
                <w:bCs/>
                <w:sz w:val="20"/>
                <w:szCs w:val="20"/>
              </w:rPr>
              <w:t>инв. номер 720/C-17043</w:t>
            </w:r>
            <w:r>
              <w:rPr>
                <w:bCs/>
                <w:sz w:val="20"/>
                <w:szCs w:val="20"/>
              </w:rPr>
              <w:t>, с</w:t>
            </w:r>
            <w:r w:rsidRPr="00254FFE">
              <w:rPr>
                <w:bCs/>
                <w:sz w:val="20"/>
                <w:szCs w:val="20"/>
              </w:rPr>
              <w:t>оставные части и принадлежности: Навес, пристройка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E92A9" w14:textId="6C7F7D40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57Б/8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CD4CE3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F5295ED" w14:textId="77777777" w:rsidR="006C13C7" w:rsidRPr="005E0104" w:rsidRDefault="006C13C7" w:rsidP="006C13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61F4FD49" w14:textId="0E4E8310" w:rsidTr="006C13C7">
        <w:tc>
          <w:tcPr>
            <w:tcW w:w="455" w:type="dxa"/>
            <w:vMerge w:val="restart"/>
            <w:shd w:val="clear" w:color="auto" w:fill="auto"/>
            <w:vAlign w:val="center"/>
          </w:tcPr>
          <w:p w14:paraId="368587DC" w14:textId="7634C526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B9CEAD" w14:textId="51369899" w:rsidR="006C13C7" w:rsidRPr="00254FFE" w:rsidRDefault="006C13C7" w:rsidP="00E159B2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Узел РБУ</w:t>
            </w:r>
            <w:r w:rsidRPr="00254FFE">
              <w:rPr>
                <w:bCs/>
                <w:sz w:val="20"/>
                <w:szCs w:val="20"/>
              </w:rPr>
              <w:t xml:space="preserve"> (здание неустановленного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1013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720/C-17056</w:t>
            </w:r>
            <w:r>
              <w:rPr>
                <w:bCs/>
                <w:sz w:val="20"/>
                <w:szCs w:val="20"/>
              </w:rPr>
              <w:t>, с</w:t>
            </w:r>
            <w:r w:rsidRPr="00254FFE">
              <w:rPr>
                <w:bCs/>
                <w:sz w:val="20"/>
                <w:szCs w:val="20"/>
              </w:rPr>
              <w:t>оставные части и принадлежности: Галерея, подвал, три навеса, пристройка РБУ, две площадки, склад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A8ED3" w14:textId="4A5DCD6F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4577A0">
              <w:rPr>
                <w:bCs/>
                <w:sz w:val="20"/>
                <w:szCs w:val="20"/>
              </w:rPr>
              <w:t>57Б/11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B861588" w14:textId="016A3739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476 300,00</w:t>
            </w:r>
          </w:p>
        </w:tc>
        <w:tc>
          <w:tcPr>
            <w:tcW w:w="1275" w:type="dxa"/>
            <w:vMerge w:val="restart"/>
            <w:vAlign w:val="center"/>
          </w:tcPr>
          <w:p w14:paraId="7506A7BE" w14:textId="6C6660B3" w:rsidR="006C13C7" w:rsidRDefault="001238E5" w:rsidP="006C13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23 815,00</w:t>
            </w:r>
          </w:p>
        </w:tc>
      </w:tr>
      <w:tr w:rsidR="006C13C7" w:rsidRPr="007C755F" w14:paraId="26193A7B" w14:textId="1B5E274D" w:rsidTr="00F168C1">
        <w:tc>
          <w:tcPr>
            <w:tcW w:w="455" w:type="dxa"/>
            <w:vMerge/>
            <w:shd w:val="clear" w:color="auto" w:fill="auto"/>
            <w:vAlign w:val="center"/>
          </w:tcPr>
          <w:p w14:paraId="618AF60C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B0E16A2" w14:textId="1242B21F" w:rsidR="006C13C7" w:rsidRPr="00254FFE" w:rsidRDefault="006C13C7" w:rsidP="00B43938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Водонапорная башня</w:t>
            </w:r>
            <w:r w:rsidRPr="00254FFE">
              <w:rPr>
                <w:bCs/>
                <w:sz w:val="20"/>
                <w:szCs w:val="20"/>
              </w:rPr>
              <w:t xml:space="preserve"> (сооружение специализированное водохозяйственного назначения) </w:t>
            </w:r>
            <w:r>
              <w:rPr>
                <w:bCs/>
                <w:sz w:val="20"/>
                <w:szCs w:val="20"/>
              </w:rPr>
              <w:t>общ.</w:t>
            </w:r>
            <w:r w:rsidRPr="002040C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пл.</w:t>
            </w:r>
            <w:r w:rsidRPr="00D16AD8">
              <w:rPr>
                <w:bCs/>
                <w:sz w:val="20"/>
                <w:szCs w:val="20"/>
              </w:rPr>
              <w:t xml:space="preserve"> </w:t>
            </w:r>
            <w:r w:rsidRPr="00254FFE">
              <w:rPr>
                <w:bCs/>
                <w:sz w:val="20"/>
                <w:szCs w:val="20"/>
              </w:rPr>
              <w:t xml:space="preserve">2 </w:t>
            </w:r>
            <w:proofErr w:type="spellStart"/>
            <w:r w:rsidRPr="0031527A">
              <w:rPr>
                <w:bCs/>
                <w:sz w:val="20"/>
                <w:szCs w:val="20"/>
              </w:rPr>
              <w:t>м.кв</w:t>
            </w:r>
            <w:proofErr w:type="spellEnd"/>
            <w:r w:rsidRPr="0031527A">
              <w:rPr>
                <w:bCs/>
                <w:sz w:val="20"/>
                <w:szCs w:val="20"/>
              </w:rPr>
              <w:t xml:space="preserve">., </w:t>
            </w:r>
            <w:r w:rsidRPr="00254FFE">
              <w:rPr>
                <w:bCs/>
                <w:sz w:val="20"/>
                <w:szCs w:val="20"/>
              </w:rPr>
              <w:t>инв. номер 720/C-20928</w:t>
            </w:r>
            <w:r w:rsidRPr="00254FFE">
              <w:rPr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70A62" w14:textId="281C8E1C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4577A0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A64106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167172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C13C7" w:rsidRPr="007C755F" w14:paraId="170C046B" w14:textId="260AC5EF" w:rsidTr="00F168C1">
        <w:tc>
          <w:tcPr>
            <w:tcW w:w="455" w:type="dxa"/>
            <w:vMerge/>
            <w:shd w:val="clear" w:color="auto" w:fill="auto"/>
            <w:vAlign w:val="center"/>
          </w:tcPr>
          <w:p w14:paraId="62B37C66" w14:textId="77777777" w:rsidR="006C13C7" w:rsidRPr="00254FFE" w:rsidRDefault="006C13C7" w:rsidP="00A92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AB842FA" w14:textId="5C0D4D6D" w:rsidR="006C13C7" w:rsidRPr="00254FFE" w:rsidRDefault="006C13C7" w:rsidP="00A805E7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Артезианская скважина</w:t>
            </w:r>
            <w:r w:rsidRPr="00254FFE">
              <w:rPr>
                <w:bCs/>
                <w:sz w:val="20"/>
                <w:szCs w:val="20"/>
              </w:rPr>
              <w:t xml:space="preserve"> (сооружение специализированное водохозяйственного назначения) </w:t>
            </w:r>
            <w:proofErr w:type="spellStart"/>
            <w:r>
              <w:rPr>
                <w:bCs/>
                <w:sz w:val="20"/>
                <w:szCs w:val="20"/>
              </w:rPr>
              <w:t>общ.пл</w:t>
            </w:r>
            <w:proofErr w:type="spellEnd"/>
            <w:r>
              <w:rPr>
                <w:bCs/>
                <w:sz w:val="20"/>
                <w:szCs w:val="20"/>
              </w:rPr>
              <w:t xml:space="preserve">. 0,0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 xml:space="preserve">., </w:t>
            </w:r>
            <w:r w:rsidRPr="00254FFE">
              <w:rPr>
                <w:bCs/>
                <w:sz w:val="20"/>
                <w:szCs w:val="20"/>
              </w:rPr>
              <w:t>инв. номером 720/C-16548</w:t>
            </w:r>
            <w:r>
              <w:rPr>
                <w:bCs/>
                <w:sz w:val="20"/>
                <w:szCs w:val="20"/>
              </w:rPr>
              <w:t>, с</w:t>
            </w:r>
            <w:r w:rsidRPr="00254FFE">
              <w:rPr>
                <w:bCs/>
                <w:sz w:val="20"/>
                <w:szCs w:val="20"/>
              </w:rPr>
              <w:t>оставные части и принадлежности: Подземный павильон, водоподъемная установка, трубопроводная арматура, компрессор, двигатель, люк</w:t>
            </w:r>
            <w:r w:rsidRPr="00254FFE">
              <w:rPr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E3635" w14:textId="6504655C" w:rsidR="006C13C7" w:rsidRPr="001122AB" w:rsidRDefault="006C13C7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2A24A60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58190D" w14:textId="77777777" w:rsidR="006C13C7" w:rsidRPr="005E0104" w:rsidRDefault="006C13C7" w:rsidP="00A9241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68C1" w:rsidRPr="007C755F" w14:paraId="758A9B79" w14:textId="7CC5B62D" w:rsidTr="00F168C1">
        <w:tc>
          <w:tcPr>
            <w:tcW w:w="9810" w:type="dxa"/>
            <w:gridSpan w:val="5"/>
            <w:shd w:val="clear" w:color="auto" w:fill="auto"/>
            <w:vAlign w:val="center"/>
          </w:tcPr>
          <w:p w14:paraId="25C444A8" w14:textId="1FDF62D8" w:rsidR="00F168C1" w:rsidRPr="00254FFE" w:rsidRDefault="00F168C1" w:rsidP="004577A0">
            <w:pPr>
              <w:jc w:val="both"/>
              <w:rPr>
                <w:bCs/>
                <w:sz w:val="20"/>
                <w:szCs w:val="20"/>
              </w:rPr>
            </w:pPr>
            <w:r w:rsidRPr="00254FFE">
              <w:rPr>
                <w:bCs/>
                <w:sz w:val="20"/>
                <w:szCs w:val="20"/>
              </w:rPr>
              <w:lastRenderedPageBreak/>
              <w:t xml:space="preserve">В состав </w:t>
            </w:r>
            <w:r w:rsidRPr="00254FFE">
              <w:rPr>
                <w:bCs/>
                <w:sz w:val="20"/>
                <w:szCs w:val="20"/>
                <w:u w:val="single"/>
              </w:rPr>
              <w:t>лота №5</w:t>
            </w:r>
            <w:r w:rsidRPr="00254FFE">
              <w:rPr>
                <w:bCs/>
                <w:sz w:val="20"/>
                <w:szCs w:val="20"/>
              </w:rPr>
              <w:t xml:space="preserve"> входит следующее иное имущество: компрессор ВК10Е, компрессор ВК 406-6, компрессор ВК 406-6, смеситель С1500М, смеситель С1500М, смеситель С1500М, смеситель С1500М, шкаф управления ШЭА, шкаф управления ПР- N02-11-У3, ресивер 2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ресивер 2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ресивер 2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дозирующий комплекс, пульт управления, конвейер, лебедка, смеситель дозатор емкость 50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смеситель дозатор емкость 50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смеситель дозатор емкость 50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смеситель дозатор емкость 50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смеситель дозатор емкость 50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 xml:space="preserve">., смеситель дозатор емкость 50 </w:t>
            </w:r>
            <w:proofErr w:type="spellStart"/>
            <w:r w:rsidRPr="00254FFE">
              <w:rPr>
                <w:bCs/>
                <w:sz w:val="20"/>
                <w:szCs w:val="20"/>
              </w:rPr>
              <w:t>м.куб</w:t>
            </w:r>
            <w:proofErr w:type="spellEnd"/>
            <w:r w:rsidRPr="00254FFE">
              <w:rPr>
                <w:bCs/>
                <w:sz w:val="20"/>
                <w:szCs w:val="20"/>
              </w:rPr>
              <w:t>.</w:t>
            </w:r>
          </w:p>
        </w:tc>
      </w:tr>
      <w:tr w:rsidR="00F168C1" w:rsidRPr="007C755F" w14:paraId="74900B56" w14:textId="15E87852" w:rsidTr="006C13C7">
        <w:tc>
          <w:tcPr>
            <w:tcW w:w="455" w:type="dxa"/>
            <w:shd w:val="clear" w:color="auto" w:fill="auto"/>
            <w:vAlign w:val="center"/>
          </w:tcPr>
          <w:p w14:paraId="393F8843" w14:textId="7354AFE2" w:rsidR="00F168C1" w:rsidRPr="00254FFE" w:rsidRDefault="00F168C1" w:rsidP="00A92419">
            <w:pPr>
              <w:jc w:val="center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5B4D3A" w14:textId="2E143F1E" w:rsidR="00F168C1" w:rsidRPr="00254FFE" w:rsidRDefault="00F168C1" w:rsidP="004577A0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Ангар-склад</w:t>
            </w:r>
            <w:r w:rsidRPr="00254FFE">
              <w:rPr>
                <w:bCs/>
                <w:sz w:val="20"/>
                <w:szCs w:val="20"/>
              </w:rPr>
              <w:t xml:space="preserve"> (здание специализированное складов, торговых баз, баз материально-технического снабжения, хранилищ) общей площадью 525,6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720/C-17045</w:t>
            </w:r>
            <w:r w:rsidRPr="00254FFE">
              <w:rPr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9093" w14:textId="1BD2475D" w:rsidR="00F168C1" w:rsidRPr="001122AB" w:rsidRDefault="00F168C1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4577A0">
              <w:rPr>
                <w:bCs/>
                <w:sz w:val="20"/>
                <w:szCs w:val="20"/>
              </w:rPr>
              <w:t>57Б/10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ED1D77" w14:textId="631C8FCB" w:rsidR="00F168C1" w:rsidRPr="005E0104" w:rsidRDefault="00F168C1" w:rsidP="00A92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33 000,00</w:t>
            </w:r>
          </w:p>
        </w:tc>
        <w:tc>
          <w:tcPr>
            <w:tcW w:w="1275" w:type="dxa"/>
            <w:vAlign w:val="center"/>
          </w:tcPr>
          <w:p w14:paraId="125C9DE2" w14:textId="2E6E0352" w:rsidR="00F168C1" w:rsidRDefault="001238E5" w:rsidP="006C13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1 650,00</w:t>
            </w:r>
          </w:p>
        </w:tc>
      </w:tr>
      <w:tr w:rsidR="00F168C1" w:rsidRPr="007C755F" w14:paraId="2B20C17D" w14:textId="0621B482" w:rsidTr="006C13C7">
        <w:tc>
          <w:tcPr>
            <w:tcW w:w="455" w:type="dxa"/>
            <w:shd w:val="clear" w:color="auto" w:fill="auto"/>
            <w:vAlign w:val="center"/>
          </w:tcPr>
          <w:p w14:paraId="1F6C96F3" w14:textId="09FBBE37" w:rsidR="00F168C1" w:rsidRPr="00254FFE" w:rsidRDefault="00F168C1" w:rsidP="00A92419">
            <w:pPr>
              <w:jc w:val="center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E7B48E" w14:textId="44E152E0" w:rsidR="00F168C1" w:rsidRPr="00254FFE" w:rsidRDefault="00F168C1" w:rsidP="00E159B2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Контора</w:t>
            </w:r>
            <w:r w:rsidRPr="00254FFE">
              <w:rPr>
                <w:bCs/>
                <w:sz w:val="20"/>
                <w:szCs w:val="20"/>
              </w:rPr>
              <w:t xml:space="preserve"> (здание административно-хозяйственное) общей площадью 145,5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 инв. номер 720/C-17050, с</w:t>
            </w:r>
            <w:r w:rsidRPr="00254FFE">
              <w:rPr>
                <w:bCs/>
                <w:sz w:val="20"/>
                <w:szCs w:val="20"/>
              </w:rPr>
              <w:t xml:space="preserve">оставные части и принадлежности: </w:t>
            </w:r>
            <w:r>
              <w:rPr>
                <w:bCs/>
                <w:sz w:val="20"/>
                <w:szCs w:val="20"/>
              </w:rPr>
              <w:t>п</w:t>
            </w:r>
            <w:r w:rsidRPr="00254FFE">
              <w:rPr>
                <w:bCs/>
                <w:sz w:val="20"/>
                <w:szCs w:val="20"/>
              </w:rPr>
              <w:t>ристройка, склад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681FB" w14:textId="7C2B7382" w:rsidR="00F168C1" w:rsidRPr="001122AB" w:rsidRDefault="00F168C1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4577A0">
              <w:rPr>
                <w:bCs/>
                <w:sz w:val="20"/>
                <w:szCs w:val="20"/>
              </w:rPr>
              <w:t>57Б/7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53E39" w14:textId="11F5352F" w:rsidR="00F168C1" w:rsidRPr="005E0104" w:rsidRDefault="00F168C1" w:rsidP="00A92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38 700,00</w:t>
            </w:r>
          </w:p>
        </w:tc>
        <w:tc>
          <w:tcPr>
            <w:tcW w:w="1275" w:type="dxa"/>
            <w:vAlign w:val="center"/>
          </w:tcPr>
          <w:p w14:paraId="561684B1" w14:textId="6902E872" w:rsidR="00F168C1" w:rsidRDefault="001238E5" w:rsidP="006C13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1 935,00</w:t>
            </w:r>
          </w:p>
        </w:tc>
      </w:tr>
      <w:tr w:rsidR="00F168C1" w:rsidRPr="007C755F" w14:paraId="69CF357E" w14:textId="38ED4D3F" w:rsidTr="006C13C7">
        <w:tc>
          <w:tcPr>
            <w:tcW w:w="455" w:type="dxa"/>
            <w:shd w:val="clear" w:color="auto" w:fill="auto"/>
            <w:vAlign w:val="center"/>
          </w:tcPr>
          <w:p w14:paraId="1697B8C2" w14:textId="2C3C14FC" w:rsidR="00F168C1" w:rsidRPr="00254FFE" w:rsidRDefault="00F168C1" w:rsidP="00A92419">
            <w:pPr>
              <w:jc w:val="center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97B721" w14:textId="340DEEAD" w:rsidR="00F168C1" w:rsidRPr="00254FFE" w:rsidRDefault="00F168C1" w:rsidP="00E159B2">
            <w:pPr>
              <w:rPr>
                <w:bCs/>
                <w:sz w:val="20"/>
                <w:szCs w:val="20"/>
              </w:rPr>
            </w:pPr>
            <w:r w:rsidRPr="00254FFE">
              <w:rPr>
                <w:b/>
                <w:bCs/>
                <w:sz w:val="20"/>
                <w:szCs w:val="20"/>
              </w:rPr>
              <w:t>Здание проходной</w:t>
            </w:r>
            <w:r w:rsidRPr="00254FFE">
              <w:rPr>
                <w:bCs/>
                <w:sz w:val="20"/>
                <w:szCs w:val="20"/>
              </w:rPr>
              <w:t xml:space="preserve"> (здание неустановленного назначения) общей площадью 49,6 </w:t>
            </w:r>
            <w:proofErr w:type="spellStart"/>
            <w:r>
              <w:rPr>
                <w:bCs/>
                <w:sz w:val="20"/>
                <w:szCs w:val="20"/>
              </w:rPr>
              <w:t>м.кв</w:t>
            </w:r>
            <w:proofErr w:type="spellEnd"/>
            <w:r>
              <w:rPr>
                <w:bCs/>
                <w:sz w:val="20"/>
                <w:szCs w:val="20"/>
              </w:rPr>
              <w:t>.,</w:t>
            </w:r>
            <w:r w:rsidRPr="00254FFE">
              <w:rPr>
                <w:bCs/>
                <w:sz w:val="20"/>
                <w:szCs w:val="20"/>
              </w:rPr>
              <w:t xml:space="preserve"> инв. номер 720/C-20915</w:t>
            </w:r>
            <w:r>
              <w:rPr>
                <w:bCs/>
                <w:sz w:val="20"/>
                <w:szCs w:val="20"/>
              </w:rPr>
              <w:t>, с</w:t>
            </w:r>
            <w:r w:rsidRPr="00254FFE">
              <w:rPr>
                <w:bCs/>
                <w:sz w:val="20"/>
                <w:szCs w:val="20"/>
              </w:rPr>
              <w:t>оставные части и принадлежности: Терраса, дорожка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93FDC" w14:textId="030D31CC" w:rsidR="00F168C1" w:rsidRPr="001122AB" w:rsidRDefault="00F168C1" w:rsidP="00C00D0B">
            <w:pPr>
              <w:ind w:left="-113" w:right="-107"/>
              <w:jc w:val="center"/>
              <w:rPr>
                <w:bCs/>
                <w:sz w:val="20"/>
                <w:szCs w:val="20"/>
              </w:rPr>
            </w:pPr>
            <w:r w:rsidRPr="004577A0">
              <w:rPr>
                <w:bCs/>
                <w:sz w:val="20"/>
                <w:szCs w:val="20"/>
              </w:rPr>
              <w:t>57Б/16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F3B0B7" w14:textId="29077CEB" w:rsidR="00F168C1" w:rsidRPr="005E0104" w:rsidRDefault="00F168C1" w:rsidP="00A92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26 100,00</w:t>
            </w:r>
          </w:p>
        </w:tc>
        <w:tc>
          <w:tcPr>
            <w:tcW w:w="1275" w:type="dxa"/>
            <w:vAlign w:val="center"/>
          </w:tcPr>
          <w:p w14:paraId="02B946A7" w14:textId="08B23F0A" w:rsidR="00F168C1" w:rsidRDefault="001238E5" w:rsidP="006C13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1 305,00</w:t>
            </w:r>
          </w:p>
        </w:tc>
      </w:tr>
      <w:tr w:rsidR="00F168C1" w:rsidRPr="007C755F" w14:paraId="5744C6E2" w14:textId="18D82333" w:rsidTr="00F168C1">
        <w:tc>
          <w:tcPr>
            <w:tcW w:w="9810" w:type="dxa"/>
            <w:gridSpan w:val="5"/>
            <w:shd w:val="clear" w:color="auto" w:fill="auto"/>
            <w:vAlign w:val="center"/>
          </w:tcPr>
          <w:p w14:paraId="0047A2FF" w14:textId="653DE0F9" w:rsidR="00F168C1" w:rsidRDefault="00F168C1" w:rsidP="004A28B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  <w:proofErr w:type="spellStart"/>
            <w:r w:rsidRPr="00375CE5">
              <w:rPr>
                <w:bCs/>
                <w:sz w:val="20"/>
                <w:szCs w:val="20"/>
              </w:rPr>
              <w:t>общ.пл</w:t>
            </w:r>
            <w:proofErr w:type="spellEnd"/>
            <w:r w:rsidRPr="00375CE5">
              <w:rPr>
                <w:bCs/>
                <w:sz w:val="20"/>
                <w:szCs w:val="20"/>
              </w:rPr>
              <w:t>. 2.9347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75CE5">
              <w:rPr>
                <w:bCs/>
                <w:sz w:val="20"/>
                <w:szCs w:val="20"/>
              </w:rPr>
              <w:t xml:space="preserve">га предоставлен продавцу на праве </w:t>
            </w:r>
            <w:r>
              <w:rPr>
                <w:bCs/>
                <w:sz w:val="20"/>
                <w:szCs w:val="20"/>
              </w:rPr>
              <w:t>аренда</w:t>
            </w:r>
            <w:r w:rsidRPr="00375CE5">
              <w:rPr>
                <w:bCs/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>с</w:t>
            </w:r>
            <w:r w:rsidRPr="00E63D6E">
              <w:rPr>
                <w:bCs/>
                <w:sz w:val="20"/>
                <w:szCs w:val="20"/>
              </w:rPr>
              <w:t>одержани</w:t>
            </w:r>
            <w:r>
              <w:rPr>
                <w:bCs/>
                <w:sz w:val="20"/>
                <w:szCs w:val="20"/>
              </w:rPr>
              <w:t>я</w:t>
            </w:r>
            <w:r w:rsidRPr="00E63D6E">
              <w:rPr>
                <w:bCs/>
                <w:sz w:val="20"/>
                <w:szCs w:val="20"/>
              </w:rPr>
              <w:t xml:space="preserve"> и обслуживани</w:t>
            </w:r>
            <w:r>
              <w:rPr>
                <w:bCs/>
                <w:sz w:val="20"/>
                <w:szCs w:val="20"/>
              </w:rPr>
              <w:t>я</w:t>
            </w:r>
            <w:r w:rsidRPr="00E63D6E">
              <w:rPr>
                <w:bCs/>
                <w:sz w:val="20"/>
                <w:szCs w:val="20"/>
              </w:rPr>
              <w:t xml:space="preserve"> существующих зданий и сооружений</w:t>
            </w:r>
            <w:r>
              <w:rPr>
                <w:bCs/>
                <w:sz w:val="20"/>
                <w:szCs w:val="20"/>
              </w:rPr>
              <w:t>, д</w:t>
            </w:r>
            <w:r w:rsidRPr="00E63D6E">
              <w:rPr>
                <w:bCs/>
                <w:sz w:val="20"/>
                <w:szCs w:val="20"/>
              </w:rPr>
              <w:t>оля</w:t>
            </w:r>
            <w:r>
              <w:rPr>
                <w:bCs/>
                <w:sz w:val="20"/>
                <w:szCs w:val="20"/>
              </w:rPr>
              <w:t xml:space="preserve"> продавца</w:t>
            </w:r>
            <w:r w:rsidRPr="00E63D6E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243</w:t>
            </w:r>
            <w:r w:rsidRPr="00E63D6E">
              <w:rPr>
                <w:bCs/>
                <w:sz w:val="20"/>
                <w:szCs w:val="20"/>
              </w:rPr>
              <w:t>/250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6663"/>
      </w:tblGrid>
      <w:tr w:rsidR="007B4F8C" w:rsidRPr="007C755F" w14:paraId="280F80F0" w14:textId="77777777" w:rsidTr="00133629">
        <w:trPr>
          <w:trHeight w:val="21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FAAC" w14:textId="173E3B09" w:rsidR="007B4F8C" w:rsidRPr="007C755F" w:rsidRDefault="007B4F8C" w:rsidP="00F168C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755F">
              <w:rPr>
                <w:rStyle w:val="FontStyle25"/>
                <w:sz w:val="20"/>
                <w:szCs w:val="20"/>
              </w:rPr>
              <w:t xml:space="preserve">С подробной информацией по предмету аукциона можно ознакомиться на сайте организатора </w:t>
            </w:r>
            <w:r>
              <w:rPr>
                <w:rStyle w:val="FontStyle25"/>
                <w:sz w:val="20"/>
                <w:szCs w:val="20"/>
              </w:rPr>
              <w:t>электронных торгов</w:t>
            </w:r>
            <w:r w:rsidRPr="007C755F">
              <w:rPr>
                <w:rStyle w:val="FontStyle25"/>
                <w:sz w:val="20"/>
                <w:szCs w:val="20"/>
              </w:rPr>
              <w:t xml:space="preserve"> </w:t>
            </w:r>
            <w:hyperlink r:id="rId6" w:history="1">
              <w:r w:rsidRPr="007C755F">
                <w:rPr>
                  <w:rStyle w:val="a3"/>
                  <w:sz w:val="20"/>
                  <w:szCs w:val="20"/>
                </w:rPr>
                <w:t>www.cpo.by</w:t>
              </w:r>
            </w:hyperlink>
            <w:r>
              <w:rPr>
                <w:rStyle w:val="a3"/>
                <w:sz w:val="20"/>
                <w:szCs w:val="20"/>
              </w:rPr>
              <w:t xml:space="preserve">. </w:t>
            </w:r>
          </w:p>
        </w:tc>
      </w:tr>
      <w:tr w:rsidR="007B4F8C" w:rsidRPr="007C755F" w14:paraId="7C5CB86C" w14:textId="77777777" w:rsidTr="0094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B07F" w14:textId="0FC827BE" w:rsidR="007B4F8C" w:rsidRPr="007C755F" w:rsidRDefault="007B4F8C" w:rsidP="007B4F8C">
            <w:pPr>
              <w:suppressAutoHyphens/>
              <w:ind w:right="-82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254FFE">
              <w:rPr>
                <w:b/>
                <w:sz w:val="20"/>
                <w:szCs w:val="20"/>
              </w:rPr>
              <w:t xml:space="preserve">Задаток 10 % </w:t>
            </w:r>
            <w:r w:rsidRPr="00254FFE">
              <w:rPr>
                <w:sz w:val="20"/>
                <w:szCs w:val="20"/>
              </w:rPr>
              <w:t xml:space="preserve">от начальной цены предмета электронных торгов в белорусских рублях перечисляется на р/счет BY47 BELB 3012 0028 5000 3022 6000 в ОАО «Банк </w:t>
            </w:r>
            <w:proofErr w:type="spellStart"/>
            <w:r w:rsidRPr="00254FFE">
              <w:rPr>
                <w:sz w:val="20"/>
                <w:szCs w:val="20"/>
              </w:rPr>
              <w:t>БелВЭБ</w:t>
            </w:r>
            <w:proofErr w:type="spellEnd"/>
            <w:r w:rsidRPr="00254FFE">
              <w:rPr>
                <w:sz w:val="20"/>
                <w:szCs w:val="20"/>
              </w:rPr>
              <w:t>» (BYN), БИК BELBBY2X. Получатель платежа ЗАО «Центр промышленной оценки». УНП 191 021 390.</w:t>
            </w:r>
          </w:p>
        </w:tc>
      </w:tr>
      <w:tr w:rsidR="007B4F8C" w:rsidRPr="007C755F" w14:paraId="2975EF86" w14:textId="77777777" w:rsidTr="0094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199" w14:textId="77777777" w:rsidR="007B4F8C" w:rsidRPr="007C755F" w:rsidRDefault="007B4F8C" w:rsidP="007B4F8C">
            <w:pPr>
              <w:suppressAutoHyphens/>
              <w:ind w:right="-82"/>
              <w:rPr>
                <w:b/>
                <w:sz w:val="20"/>
                <w:szCs w:val="20"/>
              </w:rPr>
            </w:pPr>
            <w:r w:rsidRPr="007C755F">
              <w:rPr>
                <w:b/>
                <w:sz w:val="20"/>
                <w:szCs w:val="20"/>
              </w:rPr>
              <w:t>Срок подписания договора купли-продажи: 10</w:t>
            </w:r>
            <w:r w:rsidRPr="00255AB3">
              <w:rPr>
                <w:b/>
                <w:sz w:val="20"/>
                <w:szCs w:val="20"/>
              </w:rPr>
              <w:t xml:space="preserve"> (десять) рабочих дней </w:t>
            </w:r>
            <w:r w:rsidRPr="007C755F">
              <w:rPr>
                <w:sz w:val="20"/>
                <w:szCs w:val="20"/>
              </w:rPr>
              <w:t>после проведения аукциона.</w:t>
            </w:r>
          </w:p>
        </w:tc>
      </w:tr>
      <w:tr w:rsidR="007B4F8C" w:rsidRPr="007C755F" w14:paraId="46DEDADD" w14:textId="77777777" w:rsidTr="00133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B036" w14:textId="23931CEE" w:rsidR="007B4F8C" w:rsidRPr="001D7A09" w:rsidRDefault="007B4F8C" w:rsidP="00413B0C">
            <w:pPr>
              <w:suppressAutoHyphens/>
              <w:ind w:right="-82"/>
              <w:jc w:val="both"/>
              <w:rPr>
                <w:sz w:val="20"/>
                <w:szCs w:val="20"/>
              </w:rPr>
            </w:pPr>
            <w:r w:rsidRPr="00254FFE">
              <w:rPr>
                <w:b/>
                <w:sz w:val="20"/>
                <w:szCs w:val="20"/>
              </w:rPr>
              <w:t xml:space="preserve">Срок оплаты предмета </w:t>
            </w:r>
            <w:r w:rsidR="00413B0C">
              <w:rPr>
                <w:b/>
                <w:sz w:val="20"/>
                <w:szCs w:val="20"/>
              </w:rPr>
              <w:t>электронных торгов</w:t>
            </w:r>
            <w:r w:rsidRPr="00254FFE">
              <w:rPr>
                <w:b/>
                <w:sz w:val="20"/>
                <w:szCs w:val="20"/>
              </w:rPr>
              <w:t>: 10 (десять) календарных дней</w:t>
            </w:r>
            <w:r w:rsidRPr="00254FFE">
              <w:rPr>
                <w:sz w:val="20"/>
                <w:szCs w:val="20"/>
              </w:rPr>
              <w:t xml:space="preserve"> с момента заключения договора купли-продажи.</w:t>
            </w:r>
          </w:p>
        </w:tc>
      </w:tr>
      <w:tr w:rsidR="007B4F8C" w:rsidRPr="007C755F" w14:paraId="6B8DA4B2" w14:textId="77777777" w:rsidTr="00133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8B2A" w14:textId="6155BED6" w:rsidR="007B4F8C" w:rsidRPr="00254FFE" w:rsidRDefault="007B4F8C" w:rsidP="007B4F8C">
            <w:pPr>
              <w:suppressAutoHyphens/>
              <w:ind w:right="-82"/>
              <w:jc w:val="center"/>
              <w:rPr>
                <w:b/>
                <w:sz w:val="20"/>
                <w:szCs w:val="20"/>
              </w:rPr>
            </w:pPr>
            <w:r w:rsidRPr="00254FFE">
              <w:rPr>
                <w:b/>
                <w:sz w:val="20"/>
                <w:szCs w:val="20"/>
              </w:rPr>
              <w:t>Порядок проведения и оформления участия в электронных торгах</w:t>
            </w:r>
          </w:p>
        </w:tc>
      </w:tr>
      <w:tr w:rsidR="007B4F8C" w:rsidRPr="007C755F" w14:paraId="1E5D8C5C" w14:textId="77777777" w:rsidTr="0094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F228E" w14:textId="1B66D45B" w:rsidR="007B4F8C" w:rsidRPr="00254FFE" w:rsidRDefault="007B4F8C" w:rsidP="007B4F8C">
            <w:pPr>
              <w:suppressAutoHyphens/>
              <w:ind w:right="-82"/>
              <w:jc w:val="both"/>
              <w:rPr>
                <w:sz w:val="20"/>
                <w:szCs w:val="20"/>
              </w:rPr>
            </w:pPr>
            <w:r w:rsidRPr="00254FFE">
              <w:rPr>
                <w:sz w:val="20"/>
                <w:szCs w:val="20"/>
              </w:rPr>
              <w:t xml:space="preserve">Электронные торги проводятся в соответствии с регламентом электронной торговой площадки «ИПМ-Торги» (www.ipmtorgi.by), с соблюдением требований, установленных Положением о порядке проведения электронных торгов утвержденным Постановлением Совета Министров Республики от 12.07.2013 № 608 «О проведении электронных торгов» (в ред. Постановления Совмина от 23.09.2021 № 547). Ответственность участника аукциона, его права и обязанности, </w:t>
            </w:r>
            <w:r w:rsidRPr="00254FFE">
              <w:rPr>
                <w:b/>
                <w:sz w:val="20"/>
                <w:szCs w:val="20"/>
              </w:rPr>
              <w:t>штрафные санкции</w:t>
            </w:r>
            <w:r w:rsidRPr="00254FFE">
              <w:rPr>
                <w:sz w:val="20"/>
                <w:szCs w:val="20"/>
              </w:rPr>
              <w:t xml:space="preserve"> прописаны в </w:t>
            </w:r>
            <w:r w:rsidRPr="00254FFE">
              <w:rPr>
                <w:b/>
                <w:sz w:val="20"/>
                <w:szCs w:val="20"/>
              </w:rPr>
              <w:t>соглашении</w:t>
            </w:r>
            <w:r w:rsidRPr="00254FFE">
              <w:rPr>
                <w:sz w:val="20"/>
                <w:szCs w:val="20"/>
              </w:rPr>
              <w:t xml:space="preserve"> о правах и обязанностях сторон в процессе подготовки и проведения аукциона, которое является договором присоединения и размещается на странице лота во вкладке «Документы». Страница лота содержит также информацию о типе торгов и общих правилах их проведения. Победителем аукциона признаётся участник, предложивший максимальную цену.</w:t>
            </w:r>
          </w:p>
        </w:tc>
      </w:tr>
      <w:tr w:rsidR="007B4F8C" w:rsidRPr="007C755F" w14:paraId="40B95F48" w14:textId="77777777" w:rsidTr="0094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472" w14:textId="1DFF8DAF" w:rsidR="007B4F8C" w:rsidRPr="007B4F8C" w:rsidRDefault="005B3F91" w:rsidP="00C00D0B">
            <w:pPr>
              <w:suppressAutoHyphens/>
              <w:ind w:right="-82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5B3F91">
              <w:rPr>
                <w:color w:val="0D0D0D" w:themeColor="text1" w:themeTint="F2"/>
                <w:sz w:val="20"/>
                <w:szCs w:val="20"/>
              </w:rPr>
              <w:t>Победитель электронных торгов, либо единственный участник электронных торгов, согласившийся повысить начальную цену предмета электронных торгов на 5 %, обязан возместить организатору торгов затраты на их проведение и оплатить установленное вознаграждение</w:t>
            </w:r>
            <w:r w:rsidR="003D4FD6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3D4FD6" w:rsidRPr="003D4FD6">
              <w:rPr>
                <w:b/>
                <w:color w:val="0D0D0D" w:themeColor="text1" w:themeTint="F2"/>
                <w:sz w:val="20"/>
                <w:szCs w:val="20"/>
              </w:rPr>
              <w:t>1,5</w:t>
            </w:r>
            <w:r w:rsidR="003D4FD6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D4FD6">
              <w:rPr>
                <w:b/>
                <w:color w:val="0D0D0D" w:themeColor="text1" w:themeTint="F2"/>
                <w:sz w:val="20"/>
                <w:szCs w:val="20"/>
              </w:rPr>
              <w:t>-</w:t>
            </w:r>
            <w:r w:rsidR="003D4FD6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3D4FD6" w:rsidRPr="003D4FD6">
              <w:rPr>
                <w:b/>
                <w:color w:val="0D0D0D" w:themeColor="text1" w:themeTint="F2"/>
                <w:sz w:val="20"/>
                <w:szCs w:val="20"/>
              </w:rPr>
              <w:t>6</w:t>
            </w:r>
            <w:r w:rsidRPr="003D4FD6">
              <w:rPr>
                <w:b/>
                <w:color w:val="0D0D0D" w:themeColor="text1" w:themeTint="F2"/>
                <w:sz w:val="20"/>
                <w:szCs w:val="20"/>
              </w:rPr>
              <w:t xml:space="preserve"> %</w:t>
            </w:r>
            <w:r w:rsidRPr="005B3F91">
              <w:rPr>
                <w:color w:val="0D0D0D" w:themeColor="text1" w:themeTint="F2"/>
                <w:sz w:val="20"/>
                <w:szCs w:val="20"/>
              </w:rPr>
              <w:t xml:space="preserve"> от цены продажи лота в течение</w:t>
            </w:r>
            <w:r w:rsidR="00C00D0B" w:rsidRPr="00C00D0B">
              <w:rPr>
                <w:color w:val="0D0D0D" w:themeColor="text1" w:themeTint="F2"/>
                <w:sz w:val="20"/>
                <w:szCs w:val="20"/>
              </w:rPr>
              <w:t xml:space="preserve"> 5</w:t>
            </w:r>
            <w:r w:rsidRPr="005B3F91">
              <w:rPr>
                <w:color w:val="0D0D0D" w:themeColor="text1" w:themeTint="F2"/>
                <w:sz w:val="20"/>
                <w:szCs w:val="20"/>
              </w:rPr>
              <w:t xml:space="preserve"> дней после проведения электронных торгов.</w:t>
            </w:r>
          </w:p>
        </w:tc>
      </w:tr>
      <w:tr w:rsidR="007B4F8C" w:rsidRPr="007C755F" w14:paraId="03958BB5" w14:textId="77777777" w:rsidTr="0094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2D24" w14:textId="77777777" w:rsidR="007B4F8C" w:rsidRPr="007C755F" w:rsidRDefault="007B4F8C" w:rsidP="007B4F8C">
            <w:pPr>
              <w:suppressAutoHyphens/>
              <w:ind w:right="-82"/>
              <w:jc w:val="both"/>
              <w:rPr>
                <w:color w:val="000000"/>
                <w:sz w:val="20"/>
                <w:szCs w:val="20"/>
              </w:rPr>
            </w:pPr>
            <w:r w:rsidRPr="007C755F">
              <w:rPr>
                <w:color w:val="000000"/>
                <w:sz w:val="20"/>
                <w:szCs w:val="20"/>
              </w:rPr>
              <w:t>Организатор аукциона имеет право снять предмет аукциона с торгов в любое время до объявления его проданным без объяснения причин снятия.</w:t>
            </w:r>
          </w:p>
        </w:tc>
      </w:tr>
      <w:tr w:rsidR="007B4F8C" w:rsidRPr="007C755F" w14:paraId="67E2BA23" w14:textId="77777777" w:rsidTr="0053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1D5920" w14:textId="7C209445" w:rsidR="007B4F8C" w:rsidRPr="007C755F" w:rsidRDefault="00F256AB" w:rsidP="00F256AB">
            <w:pPr>
              <w:suppressAutoHyphens/>
              <w:ind w:right="-82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Дата</w:t>
            </w:r>
            <w:r w:rsidR="007B4F8C" w:rsidRPr="007C755F">
              <w:rPr>
                <w:b/>
                <w:color w:val="0D0D0D" w:themeColor="text1" w:themeTint="F2"/>
                <w:sz w:val="20"/>
                <w:szCs w:val="20"/>
              </w:rPr>
              <w:t xml:space="preserve"> и время проведения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электронных торгов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E735" w14:textId="211B2AE8" w:rsidR="007B4F8C" w:rsidRPr="007C755F" w:rsidRDefault="007B4F8C" w:rsidP="007B4F8C">
            <w:pPr>
              <w:suppressAutoHyphens/>
              <w:ind w:right="-82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7B4F8C">
              <w:rPr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с 11:00 до 11:10 04.07.2023. </w:t>
            </w:r>
            <w:r w:rsidRPr="007B4F8C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Торги продлеваются на 10 минут с момента подачи ставки в случае, если ставка поступила менее, чем за 10 минут до окончания торгов.</w:t>
            </w:r>
          </w:p>
        </w:tc>
      </w:tr>
      <w:tr w:rsidR="007B4F8C" w:rsidRPr="007C755F" w14:paraId="63BE7505" w14:textId="77777777" w:rsidTr="0053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0BC169" w14:textId="69FC3C0B" w:rsidR="007B4F8C" w:rsidRPr="007C755F" w:rsidRDefault="005E2ECE" w:rsidP="005E2ECE">
            <w:pPr>
              <w:suppressAutoHyphens/>
              <w:ind w:right="-82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Дата и </w:t>
            </w:r>
            <w:r w:rsidR="007B4F8C" w:rsidRPr="007C755F">
              <w:rPr>
                <w:b/>
                <w:color w:val="0D0D0D" w:themeColor="text1" w:themeTint="F2"/>
                <w:sz w:val="20"/>
                <w:szCs w:val="20"/>
              </w:rPr>
              <w:t xml:space="preserve">время окончания приема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заявок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93D0" w14:textId="3EB29477" w:rsidR="007B4F8C" w:rsidRPr="007C755F" w:rsidRDefault="007B4F8C" w:rsidP="007B4F8C">
            <w:pPr>
              <w:suppressAutoHyphens/>
              <w:ind w:right="-82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7B4F8C">
              <w:rPr>
                <w:color w:val="000000"/>
                <w:sz w:val="20"/>
                <w:szCs w:val="21"/>
              </w:rPr>
              <w:t xml:space="preserve">Заявки на участие в электронных торгах принимаются на ЭТП «ИПМ-Торги» по адресу </w:t>
            </w:r>
            <w:hyperlink r:id="rId7" w:history="1">
              <w:r w:rsidRPr="007B4F8C">
                <w:rPr>
                  <w:color w:val="0000FF"/>
                  <w:sz w:val="20"/>
                  <w:szCs w:val="21"/>
                  <w:u w:val="single"/>
                </w:rPr>
                <w:t>www.ipmtorgi.by</w:t>
              </w:r>
            </w:hyperlink>
            <w:r w:rsidRPr="007B4F8C">
              <w:rPr>
                <w:color w:val="000000"/>
                <w:sz w:val="20"/>
                <w:szCs w:val="21"/>
                <w:shd w:val="clear" w:color="auto" w:fill="F2F2F2"/>
              </w:rPr>
              <w:t xml:space="preserve"> </w:t>
            </w:r>
            <w:r w:rsidRPr="007B4F8C">
              <w:rPr>
                <w:color w:val="000000"/>
                <w:sz w:val="20"/>
                <w:szCs w:val="21"/>
              </w:rPr>
              <w:t xml:space="preserve">по </w:t>
            </w:r>
            <w:r w:rsidRPr="007B4F8C">
              <w:rPr>
                <w:b/>
                <w:color w:val="000000"/>
                <w:sz w:val="20"/>
                <w:szCs w:val="21"/>
              </w:rPr>
              <w:t>30.06.2023</w:t>
            </w:r>
            <w:r w:rsidRPr="007B4F8C">
              <w:rPr>
                <w:color w:val="000000"/>
                <w:sz w:val="20"/>
                <w:szCs w:val="21"/>
              </w:rPr>
              <w:t xml:space="preserve"> до </w:t>
            </w:r>
            <w:r w:rsidRPr="007B4F8C">
              <w:rPr>
                <w:b/>
                <w:color w:val="000000"/>
                <w:sz w:val="20"/>
                <w:szCs w:val="21"/>
              </w:rPr>
              <w:t>17.00.</w:t>
            </w:r>
          </w:p>
        </w:tc>
      </w:tr>
      <w:tr w:rsidR="007B4F8C" w:rsidRPr="00231D29" w14:paraId="1BD22109" w14:textId="77777777" w:rsidTr="00530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C1BDB" w14:textId="77777777" w:rsidR="007B4F8C" w:rsidRPr="007C755F" w:rsidRDefault="007B4F8C" w:rsidP="007B4F8C">
            <w:pPr>
              <w:suppressAutoHyphens/>
              <w:ind w:right="-82"/>
              <w:rPr>
                <w:b/>
                <w:sz w:val="20"/>
                <w:szCs w:val="20"/>
              </w:rPr>
            </w:pPr>
            <w:r w:rsidRPr="007C755F">
              <w:rPr>
                <w:b/>
                <w:sz w:val="20"/>
                <w:szCs w:val="20"/>
              </w:rPr>
              <w:t>Контактные телефоны: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EA3" w14:textId="694F926F" w:rsidR="007B4F8C" w:rsidRPr="007B4F8C" w:rsidRDefault="007B4F8C" w:rsidP="007B4F8C">
            <w:pPr>
              <w:suppressAutoHyphens/>
              <w:ind w:right="-82"/>
              <w:jc w:val="both"/>
              <w:rPr>
                <w:sz w:val="20"/>
                <w:szCs w:val="20"/>
                <w:lang w:val="en-US"/>
              </w:rPr>
            </w:pPr>
            <w:r w:rsidRPr="007B4F8C">
              <w:rPr>
                <w:sz w:val="20"/>
                <w:szCs w:val="20"/>
                <w:lang w:val="en-US"/>
              </w:rPr>
              <w:t>+375(17)280-36-37; +375(44)704-92-06. E-mail: auction@cpo.by</w:t>
            </w:r>
          </w:p>
        </w:tc>
      </w:tr>
    </w:tbl>
    <w:p w14:paraId="674A0420" w14:textId="77777777" w:rsidR="00FA3DA1" w:rsidRPr="007C755F" w:rsidRDefault="00FA3DA1" w:rsidP="00B211D9">
      <w:pPr>
        <w:jc w:val="center"/>
        <w:rPr>
          <w:b/>
          <w:sz w:val="22"/>
          <w:szCs w:val="22"/>
          <w:lang w:val="en-US"/>
        </w:rPr>
      </w:pPr>
    </w:p>
    <w:p w14:paraId="1D8D1FC3" w14:textId="660173D0" w:rsidR="006A5CD1" w:rsidRDefault="00C00D0B" w:rsidP="00B211D9">
      <w:pPr>
        <w:jc w:val="center"/>
        <w:rPr>
          <w:b/>
          <w:sz w:val="22"/>
          <w:szCs w:val="22"/>
        </w:rPr>
      </w:pPr>
      <w:r>
        <w:rPr>
          <w:b/>
          <w:color w:val="000000"/>
          <w:sz w:val="21"/>
          <w:szCs w:val="21"/>
        </w:rPr>
        <w:t>Публикация</w:t>
      </w:r>
      <w:r w:rsidR="007B4F8C" w:rsidRPr="00595F2C">
        <w:rPr>
          <w:b/>
          <w:color w:val="000000"/>
          <w:sz w:val="21"/>
          <w:szCs w:val="21"/>
        </w:rPr>
        <w:t xml:space="preserve"> </w:t>
      </w:r>
      <w:r w:rsidR="007B4F8C">
        <w:rPr>
          <w:b/>
          <w:color w:val="000000"/>
          <w:sz w:val="21"/>
          <w:szCs w:val="21"/>
        </w:rPr>
        <w:t xml:space="preserve">в </w:t>
      </w:r>
      <w:r w:rsidR="007C4C5C" w:rsidRPr="007C755F">
        <w:rPr>
          <w:b/>
          <w:sz w:val="22"/>
          <w:szCs w:val="22"/>
        </w:rPr>
        <w:t>г. «</w:t>
      </w:r>
      <w:r w:rsidR="00255AB3" w:rsidRPr="00255AB3">
        <w:rPr>
          <w:b/>
          <w:sz w:val="22"/>
          <w:szCs w:val="22"/>
        </w:rPr>
        <w:t>Горецкий вестник</w:t>
      </w:r>
      <w:r w:rsidR="007C4C5C" w:rsidRPr="007C755F">
        <w:rPr>
          <w:b/>
          <w:sz w:val="22"/>
          <w:szCs w:val="22"/>
        </w:rPr>
        <w:t xml:space="preserve">» </w:t>
      </w:r>
      <w:r w:rsidR="00E66748">
        <w:rPr>
          <w:b/>
          <w:sz w:val="22"/>
          <w:szCs w:val="22"/>
        </w:rPr>
        <w:t>03</w:t>
      </w:r>
      <w:r w:rsidR="00B83787" w:rsidRPr="007C755F">
        <w:rPr>
          <w:b/>
          <w:sz w:val="22"/>
          <w:szCs w:val="22"/>
        </w:rPr>
        <w:t>.</w:t>
      </w:r>
      <w:r w:rsidR="0029286F">
        <w:rPr>
          <w:b/>
          <w:sz w:val="22"/>
          <w:szCs w:val="22"/>
        </w:rPr>
        <w:t>0</w:t>
      </w:r>
      <w:r w:rsidR="007B4F8C">
        <w:rPr>
          <w:b/>
          <w:sz w:val="22"/>
          <w:szCs w:val="22"/>
        </w:rPr>
        <w:t>6</w:t>
      </w:r>
      <w:r w:rsidR="00B83787" w:rsidRPr="007C755F">
        <w:rPr>
          <w:b/>
          <w:sz w:val="22"/>
          <w:szCs w:val="22"/>
        </w:rPr>
        <w:t>.</w:t>
      </w:r>
      <w:r w:rsidR="000F3A46" w:rsidRPr="007C755F">
        <w:rPr>
          <w:b/>
          <w:sz w:val="22"/>
          <w:szCs w:val="22"/>
        </w:rPr>
        <w:t>20</w:t>
      </w:r>
      <w:r w:rsidR="00DD61A9" w:rsidRPr="007C755F">
        <w:rPr>
          <w:b/>
          <w:sz w:val="22"/>
          <w:szCs w:val="22"/>
        </w:rPr>
        <w:t>2</w:t>
      </w:r>
      <w:r w:rsidR="007B4F8C">
        <w:rPr>
          <w:b/>
          <w:sz w:val="22"/>
          <w:szCs w:val="22"/>
        </w:rPr>
        <w:t>3</w:t>
      </w:r>
      <w:r w:rsidR="000F3A46" w:rsidRPr="007C755F">
        <w:rPr>
          <w:b/>
          <w:sz w:val="22"/>
          <w:szCs w:val="22"/>
        </w:rPr>
        <w:t>г.</w:t>
      </w:r>
    </w:p>
    <w:p w14:paraId="07CE95DA" w14:textId="2BC71F5F" w:rsidR="00C00D0B" w:rsidRPr="00C00D0B" w:rsidRDefault="00C00D0B" w:rsidP="00C00D0B">
      <w:pPr>
        <w:jc w:val="center"/>
        <w:rPr>
          <w:b/>
          <w:sz w:val="21"/>
          <w:szCs w:val="21"/>
        </w:rPr>
      </w:pPr>
      <w:r w:rsidRPr="00C00D0B">
        <w:rPr>
          <w:b/>
          <w:sz w:val="21"/>
          <w:szCs w:val="21"/>
        </w:rPr>
        <w:t>Публикация на сайт</w:t>
      </w:r>
      <w:r>
        <w:rPr>
          <w:b/>
          <w:sz w:val="21"/>
          <w:szCs w:val="21"/>
        </w:rPr>
        <w:t>ах</w:t>
      </w:r>
      <w:r w:rsidRPr="00C00D0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Могилевского</w:t>
      </w:r>
      <w:r w:rsidRPr="00C00D0B">
        <w:rPr>
          <w:b/>
          <w:sz w:val="21"/>
          <w:szCs w:val="21"/>
        </w:rPr>
        <w:t xml:space="preserve"> областного исполнительного комитета</w:t>
      </w:r>
      <w:r w:rsidR="000719A1">
        <w:rPr>
          <w:b/>
          <w:sz w:val="21"/>
          <w:szCs w:val="21"/>
        </w:rPr>
        <w:t xml:space="preserve"> (</w:t>
      </w:r>
      <w:hyperlink r:id="rId8" w:history="1">
        <w:r w:rsidR="000719A1" w:rsidRPr="00CD66E4">
          <w:rPr>
            <w:rStyle w:val="a3"/>
            <w:b/>
            <w:sz w:val="21"/>
            <w:szCs w:val="21"/>
          </w:rPr>
          <w:t>https://mogilev-region.gov.by/</w:t>
        </w:r>
      </w:hyperlink>
      <w:r w:rsidR="000719A1">
        <w:rPr>
          <w:b/>
          <w:sz w:val="21"/>
          <w:szCs w:val="21"/>
        </w:rPr>
        <w:t>) и Государственного комитета по имуществу Республики Беларусь (</w:t>
      </w:r>
      <w:hyperlink r:id="rId9" w:history="1">
        <w:r w:rsidR="000719A1" w:rsidRPr="00CD66E4">
          <w:rPr>
            <w:rStyle w:val="a3"/>
            <w:b/>
            <w:sz w:val="21"/>
            <w:szCs w:val="21"/>
          </w:rPr>
          <w:t>https://au.nca.by/</w:t>
        </w:r>
      </w:hyperlink>
      <w:r w:rsidR="000719A1">
        <w:rPr>
          <w:b/>
          <w:sz w:val="21"/>
          <w:szCs w:val="21"/>
        </w:rPr>
        <w:t xml:space="preserve">) </w:t>
      </w:r>
      <w:r w:rsidRPr="00C00D0B">
        <w:rPr>
          <w:b/>
          <w:sz w:val="21"/>
          <w:szCs w:val="21"/>
        </w:rPr>
        <w:t xml:space="preserve">от </w:t>
      </w:r>
      <w:r w:rsidR="000719A1">
        <w:rPr>
          <w:b/>
          <w:sz w:val="22"/>
          <w:szCs w:val="22"/>
        </w:rPr>
        <w:t>0</w:t>
      </w:r>
      <w:r w:rsidR="0042226F" w:rsidRPr="0042226F">
        <w:rPr>
          <w:b/>
          <w:sz w:val="22"/>
          <w:szCs w:val="22"/>
        </w:rPr>
        <w:t>2</w:t>
      </w:r>
      <w:r w:rsidR="000719A1" w:rsidRPr="007C755F">
        <w:rPr>
          <w:b/>
          <w:sz w:val="22"/>
          <w:szCs w:val="22"/>
        </w:rPr>
        <w:t>.</w:t>
      </w:r>
      <w:r w:rsidR="000719A1">
        <w:rPr>
          <w:b/>
          <w:sz w:val="22"/>
          <w:szCs w:val="22"/>
        </w:rPr>
        <w:t>06</w:t>
      </w:r>
      <w:r w:rsidR="000719A1" w:rsidRPr="007C755F">
        <w:rPr>
          <w:b/>
          <w:sz w:val="22"/>
          <w:szCs w:val="22"/>
        </w:rPr>
        <w:t>.202</w:t>
      </w:r>
      <w:r w:rsidR="000719A1">
        <w:rPr>
          <w:b/>
          <w:sz w:val="22"/>
          <w:szCs w:val="22"/>
        </w:rPr>
        <w:t>3</w:t>
      </w:r>
      <w:r w:rsidR="000719A1" w:rsidRPr="007C755F">
        <w:rPr>
          <w:b/>
          <w:sz w:val="22"/>
          <w:szCs w:val="22"/>
        </w:rPr>
        <w:t>г.</w:t>
      </w:r>
    </w:p>
    <w:p w14:paraId="2CB7C008" w14:textId="77777777" w:rsidR="00C00D0B" w:rsidRPr="00110888" w:rsidRDefault="00C00D0B" w:rsidP="00B211D9">
      <w:pPr>
        <w:jc w:val="center"/>
        <w:rPr>
          <w:sz w:val="28"/>
        </w:rPr>
      </w:pPr>
    </w:p>
    <w:sectPr w:rsidR="00C00D0B" w:rsidRPr="00110888" w:rsidSect="006C13C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885"/>
    <w:multiLevelType w:val="hybridMultilevel"/>
    <w:tmpl w:val="985A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77E68"/>
    <w:multiLevelType w:val="hybridMultilevel"/>
    <w:tmpl w:val="756073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4E54E7"/>
    <w:multiLevelType w:val="hybridMultilevel"/>
    <w:tmpl w:val="557CD2A0"/>
    <w:lvl w:ilvl="0" w:tplc="14764E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A3D4F"/>
    <w:multiLevelType w:val="hybridMultilevel"/>
    <w:tmpl w:val="7B644282"/>
    <w:lvl w:ilvl="0" w:tplc="768E93E6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14"/>
    <w:rsid w:val="00014246"/>
    <w:rsid w:val="00024D13"/>
    <w:rsid w:val="00035818"/>
    <w:rsid w:val="000360DF"/>
    <w:rsid w:val="0004664D"/>
    <w:rsid w:val="00051CA4"/>
    <w:rsid w:val="00056186"/>
    <w:rsid w:val="0006054F"/>
    <w:rsid w:val="000613ED"/>
    <w:rsid w:val="00063D26"/>
    <w:rsid w:val="000719A1"/>
    <w:rsid w:val="000804B3"/>
    <w:rsid w:val="0009366F"/>
    <w:rsid w:val="000A1BB8"/>
    <w:rsid w:val="000A4418"/>
    <w:rsid w:val="000B30FD"/>
    <w:rsid w:val="000C5231"/>
    <w:rsid w:val="000D1DB7"/>
    <w:rsid w:val="000D27CB"/>
    <w:rsid w:val="000E0FEC"/>
    <w:rsid w:val="000F3A46"/>
    <w:rsid w:val="000F7B83"/>
    <w:rsid w:val="00110888"/>
    <w:rsid w:val="001122AB"/>
    <w:rsid w:val="001129C5"/>
    <w:rsid w:val="00122890"/>
    <w:rsid w:val="001238E5"/>
    <w:rsid w:val="00133629"/>
    <w:rsid w:val="0013604B"/>
    <w:rsid w:val="001446F1"/>
    <w:rsid w:val="00155FC6"/>
    <w:rsid w:val="00173940"/>
    <w:rsid w:val="00177CB6"/>
    <w:rsid w:val="001A00D7"/>
    <w:rsid w:val="001A1381"/>
    <w:rsid w:val="001A525A"/>
    <w:rsid w:val="001A6571"/>
    <w:rsid w:val="001A68B4"/>
    <w:rsid w:val="001B5564"/>
    <w:rsid w:val="001D7A09"/>
    <w:rsid w:val="001E0752"/>
    <w:rsid w:val="00204A40"/>
    <w:rsid w:val="0021243A"/>
    <w:rsid w:val="00212C86"/>
    <w:rsid w:val="00224477"/>
    <w:rsid w:val="00231D29"/>
    <w:rsid w:val="0024508A"/>
    <w:rsid w:val="0025384B"/>
    <w:rsid w:val="00254FFE"/>
    <w:rsid w:val="00255AB3"/>
    <w:rsid w:val="00271501"/>
    <w:rsid w:val="00273689"/>
    <w:rsid w:val="002827CA"/>
    <w:rsid w:val="0028404B"/>
    <w:rsid w:val="0029286F"/>
    <w:rsid w:val="002A0A82"/>
    <w:rsid w:val="002A19D1"/>
    <w:rsid w:val="002B2819"/>
    <w:rsid w:val="002D294C"/>
    <w:rsid w:val="002E21C3"/>
    <w:rsid w:val="00301702"/>
    <w:rsid w:val="0031527A"/>
    <w:rsid w:val="003314D2"/>
    <w:rsid w:val="00343BEF"/>
    <w:rsid w:val="0034488B"/>
    <w:rsid w:val="003523F8"/>
    <w:rsid w:val="00354F37"/>
    <w:rsid w:val="00375CE5"/>
    <w:rsid w:val="00383D4B"/>
    <w:rsid w:val="00394D76"/>
    <w:rsid w:val="003B45C9"/>
    <w:rsid w:val="003B6E02"/>
    <w:rsid w:val="003C1EFB"/>
    <w:rsid w:val="003C2792"/>
    <w:rsid w:val="003C377D"/>
    <w:rsid w:val="003D4FD6"/>
    <w:rsid w:val="003F10AF"/>
    <w:rsid w:val="003F2CD4"/>
    <w:rsid w:val="00413B0C"/>
    <w:rsid w:val="0042226F"/>
    <w:rsid w:val="004314BA"/>
    <w:rsid w:val="004577A0"/>
    <w:rsid w:val="00477C3D"/>
    <w:rsid w:val="00482F61"/>
    <w:rsid w:val="004967A3"/>
    <w:rsid w:val="004A20EC"/>
    <w:rsid w:val="004A28BC"/>
    <w:rsid w:val="004A3092"/>
    <w:rsid w:val="004B7252"/>
    <w:rsid w:val="004D0956"/>
    <w:rsid w:val="004D1B57"/>
    <w:rsid w:val="004E1CB0"/>
    <w:rsid w:val="004E2F66"/>
    <w:rsid w:val="004E75C8"/>
    <w:rsid w:val="00507CA5"/>
    <w:rsid w:val="00515611"/>
    <w:rsid w:val="00525038"/>
    <w:rsid w:val="00530B63"/>
    <w:rsid w:val="005324AC"/>
    <w:rsid w:val="00537162"/>
    <w:rsid w:val="00540AC8"/>
    <w:rsid w:val="0055104A"/>
    <w:rsid w:val="005526F4"/>
    <w:rsid w:val="00563927"/>
    <w:rsid w:val="00563A7C"/>
    <w:rsid w:val="00585344"/>
    <w:rsid w:val="005A03A7"/>
    <w:rsid w:val="005B24CC"/>
    <w:rsid w:val="005B3F91"/>
    <w:rsid w:val="005C480C"/>
    <w:rsid w:val="005E2ECE"/>
    <w:rsid w:val="005E31D9"/>
    <w:rsid w:val="005E7D88"/>
    <w:rsid w:val="005F6F76"/>
    <w:rsid w:val="006173DD"/>
    <w:rsid w:val="00624FBF"/>
    <w:rsid w:val="00641BC4"/>
    <w:rsid w:val="00647066"/>
    <w:rsid w:val="006562BE"/>
    <w:rsid w:val="0065735A"/>
    <w:rsid w:val="00665614"/>
    <w:rsid w:val="00681ED5"/>
    <w:rsid w:val="006908F8"/>
    <w:rsid w:val="0069766E"/>
    <w:rsid w:val="006A21AA"/>
    <w:rsid w:val="006A5CD1"/>
    <w:rsid w:val="006C00C6"/>
    <w:rsid w:val="006C13C7"/>
    <w:rsid w:val="006C2775"/>
    <w:rsid w:val="006C3C60"/>
    <w:rsid w:val="006C40FF"/>
    <w:rsid w:val="006E7183"/>
    <w:rsid w:val="006F6F49"/>
    <w:rsid w:val="007053B8"/>
    <w:rsid w:val="007603FB"/>
    <w:rsid w:val="00763C87"/>
    <w:rsid w:val="007714B0"/>
    <w:rsid w:val="00783CCB"/>
    <w:rsid w:val="00787B74"/>
    <w:rsid w:val="007B1841"/>
    <w:rsid w:val="007B4F8C"/>
    <w:rsid w:val="007C0CD2"/>
    <w:rsid w:val="007C4C5C"/>
    <w:rsid w:val="007C755F"/>
    <w:rsid w:val="007E12F7"/>
    <w:rsid w:val="007F77D6"/>
    <w:rsid w:val="008007EF"/>
    <w:rsid w:val="00821681"/>
    <w:rsid w:val="00841840"/>
    <w:rsid w:val="00844F0F"/>
    <w:rsid w:val="00896BA4"/>
    <w:rsid w:val="008A6EC2"/>
    <w:rsid w:val="008A73A6"/>
    <w:rsid w:val="008B2452"/>
    <w:rsid w:val="008C6002"/>
    <w:rsid w:val="008C73FB"/>
    <w:rsid w:val="008F0C90"/>
    <w:rsid w:val="008F58EC"/>
    <w:rsid w:val="008F6055"/>
    <w:rsid w:val="00901A8A"/>
    <w:rsid w:val="00923700"/>
    <w:rsid w:val="00927643"/>
    <w:rsid w:val="00933C96"/>
    <w:rsid w:val="00942237"/>
    <w:rsid w:val="00946184"/>
    <w:rsid w:val="00973152"/>
    <w:rsid w:val="0097595D"/>
    <w:rsid w:val="009766F8"/>
    <w:rsid w:val="009A17A0"/>
    <w:rsid w:val="009B5710"/>
    <w:rsid w:val="009D1931"/>
    <w:rsid w:val="00A12A73"/>
    <w:rsid w:val="00A172E2"/>
    <w:rsid w:val="00A339BF"/>
    <w:rsid w:val="00A436BC"/>
    <w:rsid w:val="00A53497"/>
    <w:rsid w:val="00A7461E"/>
    <w:rsid w:val="00A767DB"/>
    <w:rsid w:val="00A805E7"/>
    <w:rsid w:val="00A82AE4"/>
    <w:rsid w:val="00A92419"/>
    <w:rsid w:val="00AB413C"/>
    <w:rsid w:val="00AB5344"/>
    <w:rsid w:val="00AB59B4"/>
    <w:rsid w:val="00AC21BD"/>
    <w:rsid w:val="00AD2CAC"/>
    <w:rsid w:val="00AD3F89"/>
    <w:rsid w:val="00AD44DB"/>
    <w:rsid w:val="00AD54F0"/>
    <w:rsid w:val="00AE1DD6"/>
    <w:rsid w:val="00AF43C9"/>
    <w:rsid w:val="00B12073"/>
    <w:rsid w:val="00B143E6"/>
    <w:rsid w:val="00B211D9"/>
    <w:rsid w:val="00B21E32"/>
    <w:rsid w:val="00B23DD6"/>
    <w:rsid w:val="00B3093F"/>
    <w:rsid w:val="00B37785"/>
    <w:rsid w:val="00B43938"/>
    <w:rsid w:val="00B54F52"/>
    <w:rsid w:val="00B6063E"/>
    <w:rsid w:val="00B6426C"/>
    <w:rsid w:val="00B75E31"/>
    <w:rsid w:val="00B83787"/>
    <w:rsid w:val="00B919D2"/>
    <w:rsid w:val="00BA133B"/>
    <w:rsid w:val="00BA38F6"/>
    <w:rsid w:val="00BF3137"/>
    <w:rsid w:val="00BF5226"/>
    <w:rsid w:val="00C00D0B"/>
    <w:rsid w:val="00C049A6"/>
    <w:rsid w:val="00C2374D"/>
    <w:rsid w:val="00C25D74"/>
    <w:rsid w:val="00C44C5B"/>
    <w:rsid w:val="00C5245E"/>
    <w:rsid w:val="00C64037"/>
    <w:rsid w:val="00C722B4"/>
    <w:rsid w:val="00C737C5"/>
    <w:rsid w:val="00C74BD5"/>
    <w:rsid w:val="00C83585"/>
    <w:rsid w:val="00CA7B96"/>
    <w:rsid w:val="00CB3B75"/>
    <w:rsid w:val="00CD0DD2"/>
    <w:rsid w:val="00D0586A"/>
    <w:rsid w:val="00D07DC8"/>
    <w:rsid w:val="00D16AD8"/>
    <w:rsid w:val="00D51591"/>
    <w:rsid w:val="00D52B57"/>
    <w:rsid w:val="00D52BE9"/>
    <w:rsid w:val="00D53310"/>
    <w:rsid w:val="00D60F6A"/>
    <w:rsid w:val="00D67F69"/>
    <w:rsid w:val="00DB0D61"/>
    <w:rsid w:val="00DB1C12"/>
    <w:rsid w:val="00DC5149"/>
    <w:rsid w:val="00DD61A9"/>
    <w:rsid w:val="00DE07D2"/>
    <w:rsid w:val="00DF58A6"/>
    <w:rsid w:val="00E057B5"/>
    <w:rsid w:val="00E062B1"/>
    <w:rsid w:val="00E07D83"/>
    <w:rsid w:val="00E159B2"/>
    <w:rsid w:val="00E16DCE"/>
    <w:rsid w:val="00E17F90"/>
    <w:rsid w:val="00E25AB9"/>
    <w:rsid w:val="00E277AE"/>
    <w:rsid w:val="00E35DBA"/>
    <w:rsid w:val="00E406A5"/>
    <w:rsid w:val="00E44E73"/>
    <w:rsid w:val="00E55227"/>
    <w:rsid w:val="00E63D6E"/>
    <w:rsid w:val="00E6507F"/>
    <w:rsid w:val="00E650E6"/>
    <w:rsid w:val="00E66748"/>
    <w:rsid w:val="00E8778D"/>
    <w:rsid w:val="00E9079B"/>
    <w:rsid w:val="00E96E9A"/>
    <w:rsid w:val="00EA140C"/>
    <w:rsid w:val="00EA7BDB"/>
    <w:rsid w:val="00EF3C53"/>
    <w:rsid w:val="00EF4E54"/>
    <w:rsid w:val="00F044AC"/>
    <w:rsid w:val="00F168C1"/>
    <w:rsid w:val="00F256AB"/>
    <w:rsid w:val="00F41249"/>
    <w:rsid w:val="00F44E26"/>
    <w:rsid w:val="00F642DF"/>
    <w:rsid w:val="00F7337C"/>
    <w:rsid w:val="00F74C21"/>
    <w:rsid w:val="00F8059E"/>
    <w:rsid w:val="00F84F79"/>
    <w:rsid w:val="00F92085"/>
    <w:rsid w:val="00FA3DA1"/>
    <w:rsid w:val="00FC3D14"/>
    <w:rsid w:val="00FC46D3"/>
    <w:rsid w:val="00FD45BB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80C4"/>
  <w15:docId w15:val="{64D1F56F-3640-473D-91FB-30BB695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3A46"/>
    <w:rPr>
      <w:color w:val="0000FF"/>
      <w:u w:val="single"/>
    </w:rPr>
  </w:style>
  <w:style w:type="paragraph" w:customStyle="1" w:styleId="Style2">
    <w:name w:val="Style2"/>
    <w:basedOn w:val="a"/>
    <w:uiPriority w:val="99"/>
    <w:rsid w:val="000F3A46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5">
    <w:name w:val="Font Style25"/>
    <w:uiPriority w:val="99"/>
    <w:rsid w:val="000F3A4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0D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D6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4F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F31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31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3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1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3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01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5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-region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m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o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mtorgi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.nc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Дарья Будкевич</cp:lastModifiedBy>
  <cp:revision>4</cp:revision>
  <cp:lastPrinted>2020-01-28T07:26:00Z</cp:lastPrinted>
  <dcterms:created xsi:type="dcterms:W3CDTF">2023-05-31T07:27:00Z</dcterms:created>
  <dcterms:modified xsi:type="dcterms:W3CDTF">2023-05-31T12:50:00Z</dcterms:modified>
</cp:coreProperties>
</file>