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29520E5D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proofErr w:type="gramStart"/>
      <w:r w:rsidR="00B31486">
        <w:rPr>
          <w:rFonts w:ascii="Times New Roman" w:hAnsi="Times New Roman"/>
          <w:b/>
          <w:sz w:val="24"/>
          <w:szCs w:val="24"/>
        </w:rPr>
        <w:t>26</w:t>
      </w:r>
      <w:r w:rsidR="00D90013" w:rsidRPr="00D90013">
        <w:rPr>
          <w:rFonts w:ascii="Times New Roman" w:hAnsi="Times New Roman"/>
          <w:b/>
          <w:sz w:val="24"/>
          <w:szCs w:val="24"/>
        </w:rPr>
        <w:t>.1</w:t>
      </w:r>
      <w:r w:rsidR="00B31486">
        <w:rPr>
          <w:rFonts w:ascii="Times New Roman" w:hAnsi="Times New Roman"/>
          <w:b/>
          <w:sz w:val="24"/>
          <w:szCs w:val="24"/>
        </w:rPr>
        <w:t>1</w:t>
      </w:r>
      <w:r w:rsidR="00D90013" w:rsidRPr="00D90013">
        <w:rPr>
          <w:rFonts w:ascii="Times New Roman" w:hAnsi="Times New Roman"/>
          <w:b/>
          <w:sz w:val="24"/>
          <w:szCs w:val="24"/>
        </w:rPr>
        <w:t xml:space="preserve">.2025 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="00730715" w:rsidRPr="00B35020">
        <w:rPr>
          <w:rFonts w:ascii="Times New Roman" w:hAnsi="Times New Roman"/>
          <w:b/>
          <w:sz w:val="24"/>
          <w:szCs w:val="24"/>
        </w:rPr>
        <w:t xml:space="preserve">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31486" w:rsidRPr="000D3CF3">
        <w:rPr>
          <w:rFonts w:ascii="Times New Roman" w:hAnsi="Times New Roman" w:cs="Times New Roman"/>
          <w:b/>
          <w:bCs/>
        </w:rPr>
        <w:t>грузово</w:t>
      </w:r>
      <w:r w:rsidR="00B31486">
        <w:rPr>
          <w:rFonts w:ascii="Times New Roman" w:hAnsi="Times New Roman" w:cs="Times New Roman"/>
          <w:b/>
          <w:bCs/>
        </w:rPr>
        <w:t>го</w:t>
      </w:r>
      <w:r w:rsidR="00B31486" w:rsidRPr="000D3CF3">
        <w:rPr>
          <w:rFonts w:ascii="Times New Roman" w:hAnsi="Times New Roman" w:cs="Times New Roman"/>
          <w:b/>
          <w:bCs/>
        </w:rPr>
        <w:t xml:space="preserve"> </w:t>
      </w:r>
      <w:r w:rsidR="00B31486" w:rsidRPr="000D3CF3">
        <w:rPr>
          <w:rFonts w:ascii="Times New Roman" w:hAnsi="Times New Roman" w:cs="Times New Roman"/>
          <w:b/>
          <w:bCs/>
        </w:rPr>
        <w:t>автомобил</w:t>
      </w:r>
      <w:r w:rsidR="00B31486">
        <w:rPr>
          <w:rFonts w:ascii="Times New Roman" w:hAnsi="Times New Roman" w:cs="Times New Roman"/>
          <w:b/>
          <w:bCs/>
        </w:rPr>
        <w:t>я</w:t>
      </w:r>
      <w:r w:rsidR="00B31486" w:rsidRPr="000D3CF3">
        <w:rPr>
          <w:rFonts w:ascii="Times New Roman" w:hAnsi="Times New Roman" w:cs="Times New Roman"/>
          <w:b/>
          <w:bCs/>
        </w:rPr>
        <w:t xml:space="preserve"> GAZ-66АД</w:t>
      </w:r>
      <w:r w:rsidR="00B1501B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4BFDC5C6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348D5169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B31486"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  <w:r w:rsidR="00D90013" w:rsidRPr="00D90013">
              <w:rPr>
                <w:rFonts w:ascii="Times New Roman" w:hAnsi="Times New Roman"/>
                <w:b/>
                <w:bCs/>
                <w:sz w:val="28"/>
                <w:szCs w:val="28"/>
              </w:rPr>
              <w:t>.1</w:t>
            </w:r>
            <w:r w:rsidR="00B3148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90013" w:rsidRPr="00D90013">
              <w:rPr>
                <w:rFonts w:ascii="Times New Roman" w:hAnsi="Times New Roman"/>
                <w:b/>
                <w:bCs/>
                <w:sz w:val="28"/>
                <w:szCs w:val="28"/>
              </w:rPr>
              <w:t>.2025</w:t>
            </w:r>
            <w:r w:rsidR="00D9001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77777777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E02E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3DAEBD22" w:rsidR="00201147" w:rsidRDefault="00B3148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41F772" wp14:editId="47FFDC2E">
                  <wp:extent cx="6321425" cy="4740910"/>
                  <wp:effectExtent l="0" t="0" r="3175" b="2540"/>
                  <wp:docPr id="2248872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1425" cy="474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56D6EAEC" w:rsidR="00655476" w:rsidRPr="00B1501B" w:rsidRDefault="00B31486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314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Грузовой автомобиль GAZ-66АД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BD0112" w14:textId="77777777" w:rsidR="00B31486" w:rsidRDefault="00B31486" w:rsidP="00B1501B">
            <w:pPr>
              <w:spacing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тип кузова - фургон, </w:t>
            </w:r>
          </w:p>
          <w:p w14:paraId="3B67B10E" w14:textId="77777777" w:rsidR="00B31486" w:rsidRDefault="00B31486" w:rsidP="00B1501B">
            <w:pPr>
              <w:spacing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кузов (рама) ХТН006615L0608726, </w:t>
            </w:r>
          </w:p>
          <w:p w14:paraId="67878571" w14:textId="77777777" w:rsidR="00B31486" w:rsidRDefault="00B31486" w:rsidP="00B1501B">
            <w:pPr>
              <w:spacing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регистрационный знак – АЕ 4501-6, </w:t>
            </w:r>
          </w:p>
          <w:p w14:paraId="30CE6807" w14:textId="77777777" w:rsidR="00B31486" w:rsidRDefault="00B31486" w:rsidP="00B1501B">
            <w:pPr>
              <w:spacing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год выпуска – не определен, </w:t>
            </w:r>
          </w:p>
          <w:p w14:paraId="303C5BAC" w14:textId="753FEF5B" w:rsidR="00B1501B" w:rsidRPr="00B1501B" w:rsidRDefault="00B31486" w:rsidP="00B1501B">
            <w:pPr>
              <w:spacing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инв. № по </w:t>
            </w:r>
            <w:proofErr w:type="spellStart"/>
            <w:proofErr w:type="gramStart"/>
            <w:r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бух.учету</w:t>
            </w:r>
            <w:proofErr w:type="spellEnd"/>
            <w:proofErr w:type="gramEnd"/>
            <w:r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58416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047D8ACF" w:rsidR="00A80D89" w:rsidRPr="00F25BF4" w:rsidRDefault="00B31486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4368C959" w:rsidR="00131DC0" w:rsidRPr="009014B6" w:rsidRDefault="00B31486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7 9</w:t>
            </w:r>
            <w:r w:rsidR="00B020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3821C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4242DB0C" w:rsidR="00131DC0" w:rsidRPr="009014B6" w:rsidRDefault="00B31486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79</w:t>
            </w:r>
            <w:r w:rsidR="00B020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0,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6FF9E7EF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.2025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02FA9D1B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B31486">
              <w:rPr>
                <w:rFonts w:ascii="Times New Roman" w:hAnsi="Times New Roman"/>
                <w:iCs/>
                <w:sz w:val="28"/>
                <w:szCs w:val="28"/>
              </w:rPr>
              <w:t>261125</w:t>
            </w:r>
            <w:r w:rsidRPr="00D9001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E02EB1" w:rsidRPr="00D90013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67A6CDC3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.2025 до 1</w:t>
            </w:r>
            <w:r w:rsid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6CFA006A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B31486"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 Николаевич 8-0297-43-02-83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настоящее время доступна регистрация через электронную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</w:t>
            </w:r>
            <w:proofErr w:type="spellStart"/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23DD"/>
    <w:rsid w:val="003514C3"/>
    <w:rsid w:val="00374ADF"/>
    <w:rsid w:val="003821C5"/>
    <w:rsid w:val="00382B4A"/>
    <w:rsid w:val="00392A98"/>
    <w:rsid w:val="003A1FE6"/>
    <w:rsid w:val="003A7CA1"/>
    <w:rsid w:val="003B1C3B"/>
    <w:rsid w:val="003D7FEE"/>
    <w:rsid w:val="003F0C31"/>
    <w:rsid w:val="00401B78"/>
    <w:rsid w:val="00403ECF"/>
    <w:rsid w:val="00404550"/>
    <w:rsid w:val="00407E22"/>
    <w:rsid w:val="004301E9"/>
    <w:rsid w:val="004752C5"/>
    <w:rsid w:val="004802F8"/>
    <w:rsid w:val="004D1B2A"/>
    <w:rsid w:val="004E7AF1"/>
    <w:rsid w:val="004E7BAD"/>
    <w:rsid w:val="005138D6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80D89"/>
    <w:rsid w:val="00A8677A"/>
    <w:rsid w:val="00AA05FD"/>
    <w:rsid w:val="00AD26DE"/>
    <w:rsid w:val="00AD7F32"/>
    <w:rsid w:val="00AE3F85"/>
    <w:rsid w:val="00AE4A2F"/>
    <w:rsid w:val="00B020D9"/>
    <w:rsid w:val="00B116A2"/>
    <w:rsid w:val="00B1501B"/>
    <w:rsid w:val="00B31486"/>
    <w:rsid w:val="00B35020"/>
    <w:rsid w:val="00B4007F"/>
    <w:rsid w:val="00B46802"/>
    <w:rsid w:val="00B67DAE"/>
    <w:rsid w:val="00BA347C"/>
    <w:rsid w:val="00BD1680"/>
    <w:rsid w:val="00BF1B83"/>
    <w:rsid w:val="00C04CEF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90013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0351C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2133</TotalTime>
  <Pages>5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137</cp:revision>
  <cp:lastPrinted>2024-12-10T06:40:00Z</cp:lastPrinted>
  <dcterms:created xsi:type="dcterms:W3CDTF">2022-09-29T12:13:00Z</dcterms:created>
  <dcterms:modified xsi:type="dcterms:W3CDTF">2025-10-23T08:34:00Z</dcterms:modified>
</cp:coreProperties>
</file>