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A989" w14:textId="5792685C" w:rsidR="004811F4" w:rsidRDefault="0037303C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 «Поддержка экологических проектов»</w:t>
      </w:r>
      <w:r w:rsidR="004811F4" w:rsidRPr="00481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4DAB7C" w14:textId="77777777"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1B88F28" w14:textId="77777777"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765"/>
      </w:tblGrid>
      <w:tr w:rsidR="00682DF4" w:rsidRPr="000356F0" w14:paraId="0DEB3157" w14:textId="77777777" w:rsidTr="00A53BCE">
        <w:trPr>
          <w:jc w:val="center"/>
        </w:trPr>
        <w:tc>
          <w:tcPr>
            <w:tcW w:w="2440" w:type="dxa"/>
            <w:vAlign w:val="center"/>
          </w:tcPr>
          <w:p w14:paraId="5058ECF0" w14:textId="77777777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14:paraId="53C240AD" w14:textId="77777777"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E8C5B" w14:textId="1D800811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14:paraId="14F02B56" w14:textId="77777777" w:rsidTr="00A53BCE">
        <w:trPr>
          <w:jc w:val="center"/>
        </w:trPr>
        <w:tc>
          <w:tcPr>
            <w:tcW w:w="2440" w:type="dxa"/>
          </w:tcPr>
          <w:p w14:paraId="12D08583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14:paraId="39663D08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224039A5" w14:textId="77777777"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14:paraId="75DD91F6" w14:textId="77777777" w:rsidTr="00A53BCE">
        <w:trPr>
          <w:jc w:val="center"/>
        </w:trPr>
        <w:tc>
          <w:tcPr>
            <w:tcW w:w="2440" w:type="dxa"/>
          </w:tcPr>
          <w:p w14:paraId="5CBB4527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14:paraId="446BC7D2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682DF4" w:rsidRPr="000356F0" w14:paraId="482007B3" w14:textId="77777777" w:rsidTr="00A53BCE">
        <w:trPr>
          <w:jc w:val="center"/>
        </w:trPr>
        <w:tc>
          <w:tcPr>
            <w:tcW w:w="2440" w:type="dxa"/>
          </w:tcPr>
          <w:p w14:paraId="50357FEE" w14:textId="77777777"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14:paraId="63C2ED8C" w14:textId="7788961B"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682DF4" w:rsidRPr="000356F0" w14:paraId="2EEC4FE1" w14:textId="77777777" w:rsidTr="00A53BCE">
        <w:trPr>
          <w:jc w:val="center"/>
        </w:trPr>
        <w:tc>
          <w:tcPr>
            <w:tcW w:w="2440" w:type="dxa"/>
          </w:tcPr>
          <w:p w14:paraId="0FD430D4" w14:textId="77777777"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14:paraId="777A6E74" w14:textId="77777777"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14:paraId="176D6641" w14:textId="77777777" w:rsidTr="00A53BCE">
        <w:trPr>
          <w:jc w:val="center"/>
        </w:trPr>
        <w:tc>
          <w:tcPr>
            <w:tcW w:w="2440" w:type="dxa"/>
          </w:tcPr>
          <w:p w14:paraId="3AC12868" w14:textId="77777777"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14:paraId="3E352230" w14:textId="39EFB051"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14:paraId="3AD4C0A0" w14:textId="77777777" w:rsidTr="00BC652E">
        <w:trPr>
          <w:trHeight w:val="589"/>
          <w:jc w:val="center"/>
        </w:trPr>
        <w:tc>
          <w:tcPr>
            <w:tcW w:w="2440" w:type="dxa"/>
          </w:tcPr>
          <w:p w14:paraId="5AF884C8" w14:textId="77777777"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14:paraId="0B0ADD34" w14:textId="77777777"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14:paraId="5A762D61" w14:textId="77777777" w:rsidTr="00A53BCE">
        <w:trPr>
          <w:jc w:val="center"/>
        </w:trPr>
        <w:tc>
          <w:tcPr>
            <w:tcW w:w="2440" w:type="dxa"/>
          </w:tcPr>
          <w:p w14:paraId="0EEE7E77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14:paraId="49BC5E30" w14:textId="77777777"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14:paraId="75847C94" w14:textId="77777777" w:rsidTr="00A53BCE">
        <w:trPr>
          <w:jc w:val="center"/>
        </w:trPr>
        <w:tc>
          <w:tcPr>
            <w:tcW w:w="2440" w:type="dxa"/>
          </w:tcPr>
          <w:p w14:paraId="02B7C932" w14:textId="77777777"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14:paraId="37005F72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245A727B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CE698E6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12 месяцев.</w:t>
            </w:r>
          </w:p>
        </w:tc>
      </w:tr>
      <w:tr w:rsidR="00BC652E" w:rsidRPr="000356F0" w14:paraId="387FFC3B" w14:textId="77777777" w:rsidTr="00BC652E">
        <w:trPr>
          <w:jc w:val="center"/>
        </w:trPr>
        <w:tc>
          <w:tcPr>
            <w:tcW w:w="2440" w:type="dxa"/>
            <w:vMerge w:val="restart"/>
          </w:tcPr>
          <w:p w14:paraId="76AC2F7A" w14:textId="77777777"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765" w:type="dxa"/>
          </w:tcPr>
          <w:p w14:paraId="46A642F2" w14:textId="26454ACF"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14:paraId="73631FD8" w14:textId="77777777"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14:paraId="3CC98AD2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электрозарядных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14:paraId="1ADF5CC1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14:paraId="05F61003" w14:textId="77777777"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14:paraId="4BD109E6" w14:textId="77777777"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14:paraId="2D7588FC" w14:textId="77777777"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14:paraId="1114E984" w14:textId="77777777"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14:paraId="6A4F28BE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4"/>
            </w:r>
            <w:r w:rsidRPr="00D9192D">
              <w:rPr>
                <w:color w:val="000000"/>
              </w:rPr>
              <w:t xml:space="preserve">; </w:t>
            </w:r>
          </w:p>
          <w:p w14:paraId="79DAFF46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14:paraId="6180231A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5"/>
            </w:r>
            <w:r w:rsidRPr="00D9192D">
              <w:rPr>
                <w:color w:val="000000"/>
              </w:rPr>
              <w:t>;</w:t>
            </w:r>
          </w:p>
          <w:p w14:paraId="0BCF9442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6"/>
            </w:r>
            <w:r w:rsidRPr="00D9192D">
              <w:rPr>
                <w:color w:val="000000"/>
              </w:rPr>
              <w:t>);</w:t>
            </w:r>
          </w:p>
          <w:p w14:paraId="35776C76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7"/>
            </w:r>
            <w:r w:rsidRPr="00D9192D">
              <w:rPr>
                <w:color w:val="000000"/>
              </w:rPr>
              <w:t>);</w:t>
            </w:r>
          </w:p>
          <w:p w14:paraId="4188C575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производство биогумуса, </w:t>
            </w:r>
            <w:proofErr w:type="spellStart"/>
            <w:r w:rsidRPr="00D9192D">
              <w:rPr>
                <w:color w:val="000000"/>
              </w:rPr>
              <w:t>зоогумуса</w:t>
            </w:r>
            <w:proofErr w:type="spellEnd"/>
            <w:r w:rsidRPr="00D9192D">
              <w:rPr>
                <w:color w:val="000000"/>
              </w:rPr>
              <w:t>;</w:t>
            </w:r>
          </w:p>
          <w:p w14:paraId="370BE422" w14:textId="77777777"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lastRenderedPageBreak/>
              <w:t>добычу и производство продукции на основе сапропеля;</w:t>
            </w:r>
          </w:p>
          <w:p w14:paraId="5E3BC2E4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8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9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14:paraId="35B09D2A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14:paraId="538A2328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14:paraId="757399A2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14:paraId="6ED9CF77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электрозарядных станций и систем накопления электрической энергии; </w:t>
            </w:r>
          </w:p>
          <w:p w14:paraId="34F8EC8F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14:paraId="4C980C2E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14:paraId="00181F93" w14:textId="77777777"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14:paraId="61CA13CC" w14:textId="77777777" w:rsidTr="00BC652E">
        <w:trPr>
          <w:trHeight w:val="421"/>
          <w:jc w:val="center"/>
        </w:trPr>
        <w:tc>
          <w:tcPr>
            <w:tcW w:w="2440" w:type="dxa"/>
            <w:vMerge/>
          </w:tcPr>
          <w:p w14:paraId="20FC3542" w14:textId="77777777"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14:paraId="0693F395" w14:textId="77777777"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74F43CFE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8D4E05F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79B07F57" w14:textId="77777777"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03121CDA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14:paraId="5935033D" w14:textId="122A9AF3"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06674BE" w14:textId="77777777"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96BA0" w14:textId="77777777"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14:paraId="39C2A15B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AB4FDCA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C793781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B09D762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3987072" w14:textId="77777777"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A1E6E79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81067A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E24D16" w14:textId="77777777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0B42BDE" w14:textId="603F30E3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3C42AF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12906F33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2">
    <w:p w14:paraId="4A06BA10" w14:textId="77777777"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6F04C71B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4">
    <w:p w14:paraId="1158B1AF" w14:textId="77777777"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126230">
        <w:rPr>
          <w:sz w:val="18"/>
          <w:szCs w:val="18"/>
        </w:rPr>
        <w:t xml:space="preserve"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</w:t>
      </w:r>
      <w:proofErr w:type="spellStart"/>
      <w:r w:rsidRPr="00126230">
        <w:rPr>
          <w:sz w:val="18"/>
          <w:szCs w:val="18"/>
        </w:rPr>
        <w:t>неламинированные</w:t>
      </w:r>
      <w:proofErr w:type="spellEnd"/>
      <w:r w:rsidRPr="00126230">
        <w:rPr>
          <w:sz w:val="18"/>
          <w:szCs w:val="18"/>
        </w:rPr>
        <w:t xml:space="preserve">), хлопок, джут, лен, пенька, пергамент, </w:t>
      </w:r>
      <w:proofErr w:type="spellStart"/>
      <w:r w:rsidRPr="00126230">
        <w:rPr>
          <w:sz w:val="18"/>
          <w:szCs w:val="18"/>
        </w:rPr>
        <w:t>подпергамент</w:t>
      </w:r>
      <w:proofErr w:type="spellEnd"/>
      <w:r w:rsidRPr="00126230">
        <w:rPr>
          <w:sz w:val="18"/>
          <w:szCs w:val="18"/>
        </w:rPr>
        <w:t>, кенаф, шелк), стекла.</w:t>
      </w:r>
    </w:p>
    <w:p w14:paraId="12A5538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5">
    <w:p w14:paraId="6B822A6C" w14:textId="77777777"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6">
    <w:p w14:paraId="7BA25CE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sz w:val="18"/>
          <w:szCs w:val="18"/>
        </w:rPr>
        <w:t xml:space="preserve"> </w:t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>, маркировки и реализации», введенным в действие в качестве государственного стандарта Республики Беларусь</w:t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7">
    <w:p w14:paraId="1ED30ADF" w14:textId="77777777"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8">
    <w:p w14:paraId="2154D7B8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9">
    <w:p w14:paraId="4EE464FE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1077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AFA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088B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C7C89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Кемцева Светлана Валентиновна</cp:lastModifiedBy>
  <cp:revision>3</cp:revision>
  <cp:lastPrinted>2025-07-16T07:16:00Z</cp:lastPrinted>
  <dcterms:created xsi:type="dcterms:W3CDTF">2025-09-29T08:06:00Z</dcterms:created>
  <dcterms:modified xsi:type="dcterms:W3CDTF">2025-09-29T08:11:00Z</dcterms:modified>
</cp:coreProperties>
</file>