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F40" w:rsidRDefault="00790F40">
      <w:pPr>
        <w:pStyle w:val="newncpi0"/>
        <w:jc w:val="center"/>
      </w:pPr>
      <w:bookmarkStart w:id="0" w:name="_GoBack"/>
      <w:bookmarkEnd w:id="0"/>
      <w:r>
        <w:rPr>
          <w:rStyle w:val="name"/>
        </w:rPr>
        <w:t>ПОСТАНОВЛЕНИЕ </w:t>
      </w:r>
      <w:r>
        <w:rPr>
          <w:rStyle w:val="promulgator"/>
        </w:rPr>
        <w:t>МИНИСТЕРСТВА АРХИТЕКТУРЫ И СТРОИТЕЛЬСТВА РЕСПУБЛИКИ БЕЛАРУСЬ</w:t>
      </w:r>
    </w:p>
    <w:p w:rsidR="00790F40" w:rsidRDefault="00790F40">
      <w:pPr>
        <w:pStyle w:val="newncpi"/>
        <w:ind w:firstLine="0"/>
        <w:jc w:val="center"/>
      </w:pPr>
      <w:r>
        <w:rPr>
          <w:rStyle w:val="datepr"/>
        </w:rPr>
        <w:t>19 декабря 2023 г.</w:t>
      </w:r>
      <w:r>
        <w:rPr>
          <w:rStyle w:val="number"/>
        </w:rPr>
        <w:t xml:space="preserve"> № 125</w:t>
      </w:r>
    </w:p>
    <w:p w:rsidR="00790F40" w:rsidRDefault="00790F40">
      <w:pPr>
        <w:pStyle w:val="titlencpi"/>
      </w:pPr>
      <w:r>
        <w:t>О порядке регулирования цен</w:t>
      </w:r>
    </w:p>
    <w:p w:rsidR="00790F40" w:rsidRDefault="00790F40">
      <w:pPr>
        <w:pStyle w:val="changei"/>
      </w:pPr>
      <w:r>
        <w:t>Изменения и дополнения:</w:t>
      </w:r>
    </w:p>
    <w:p w:rsidR="00790F40" w:rsidRDefault="00790F40">
      <w:pPr>
        <w:pStyle w:val="changeadd"/>
      </w:pPr>
      <w:r>
        <w:t>Постановление Министерства архитектуры и строительства Республики Беларусь от 3 апреля 2024 г. № 24 (зарегистрировано в Национальном реестре - № 8/41403 от 18.04.2024 г.) &lt;W22441403&gt;;</w:t>
      </w:r>
    </w:p>
    <w:p w:rsidR="00790F40" w:rsidRDefault="00790F40">
      <w:pPr>
        <w:pStyle w:val="changeadd"/>
      </w:pPr>
      <w:r>
        <w:t>Постановление Министерства архитектуры и строительства Республики Беларусь от 24 февраля 2025 г. № 28 (зарегистрировано в Национальном реестре - № 8/43029 от 11.03.2025 г.) &lt;W22543029&gt;;</w:t>
      </w:r>
    </w:p>
    <w:p w:rsidR="00790F40" w:rsidRDefault="00790F40">
      <w:pPr>
        <w:pStyle w:val="changeadd"/>
      </w:pPr>
      <w:r>
        <w:t>Постановление Министерства архитектуры и строительства Республики Беларусь от 21 апреля 2025 г. № 48 (зарегистрировано в Национальном реестре - № 8/43284 от 13.05.2025 г.) &lt;W22543284&gt;;</w:t>
      </w:r>
    </w:p>
    <w:p w:rsidR="00790F40" w:rsidRDefault="00790F40">
      <w:pPr>
        <w:pStyle w:val="changeadd"/>
      </w:pPr>
      <w:r>
        <w:t>Постановление Министерства архитектуры и строительства Республики Беларусь от 10 октября 2025 г. № 109 (зарегистрировано в Национальном реестре - № 11-2/43997 от 23.10.2025 г.) &lt;W22543997&gt;</w:t>
      </w:r>
    </w:p>
    <w:p w:rsidR="00790F40" w:rsidRDefault="00790F40">
      <w:pPr>
        <w:pStyle w:val="newncpi"/>
      </w:pPr>
      <w:r>
        <w:t> </w:t>
      </w:r>
    </w:p>
    <w:p w:rsidR="00790F40" w:rsidRDefault="00790F40">
      <w:pPr>
        <w:pStyle w:val="preamble"/>
      </w:pPr>
      <w:r>
        <w:t>На основании подпункта 2.1 пункта 2 Указа Президента Республики Беларусь от 25 февраля 2011 г. № 72 «О некоторых вопросах регулирования цен (тарифов) в Республике Беларусь», пункта 1 постановления Совета Министров Республики Беларусь от 4 февраля 2025 г. № 69 «О регулировании цен (тарифов)» и подпункта 5.6 пункта 5 Положения о Министерстве архитектуры и строительства Республики Беларусь, утвержденного постановлением Совета Министров Республики Беларусь от 31 июля 2006 г. № 973, Министерство архитектуры и строительства Республики Беларусь ПОСТАНОВЛЯЕТ:</w:t>
      </w:r>
    </w:p>
    <w:p w:rsidR="00790F40" w:rsidRDefault="00790F40">
      <w:pPr>
        <w:pStyle w:val="point"/>
      </w:pPr>
      <w:r>
        <w:t>1. Установить на товары по перечню согласно приложению, производимые (ввозимые) и реализуемые на внутренний рынок юридическими лицами и индивидуальными предпринимателями (за исключением субъектов, осуществляющих розничную торговлю) и предназначенные для использования при строительстве объектов, а также при производстве материалов для строительства (далее, если не указано иное, – товары):</w:t>
      </w:r>
    </w:p>
    <w:p w:rsidR="00790F40" w:rsidRDefault="00790F40">
      <w:pPr>
        <w:pStyle w:val="underpoint"/>
      </w:pPr>
      <w:r>
        <w:t>1.1. для производителей, за исключением указанных в подпункте 1.2 настоящего пункта, абзаце втором пункта 2 и пункте 3 настоящего постановления, предельный максимальный норматив рентабельности, используемый для определения суммы прибыли, подлежащей включению в отпускные цены на товары, реализуемые:</w:t>
      </w:r>
    </w:p>
    <w:p w:rsidR="00790F40" w:rsidRDefault="00790F40">
      <w:pPr>
        <w:pStyle w:val="newncpi"/>
      </w:pPr>
      <w:r>
        <w:t>для строительства объектов, – в размере 20 процентов к плановой себестоимости производства и реализации (без учета расходов, связанных с их транспортировкой до места применения);</w:t>
      </w:r>
    </w:p>
    <w:p w:rsidR="00790F40" w:rsidRDefault="00790F40">
      <w:pPr>
        <w:pStyle w:val="newncpi"/>
      </w:pPr>
      <w:r>
        <w:t>для производства товаров, – в размере 20 процентов к плановой себестоимости производства и реализации (без учета расходов, связанных с их транспортировкой до места применения);</w:t>
      </w:r>
    </w:p>
    <w:p w:rsidR="00790F40" w:rsidRDefault="00790F40">
      <w:pPr>
        <w:pStyle w:val="newncpi"/>
      </w:pPr>
      <w:r>
        <w:t>субъектам торговли для дальнейшей реализации для строительства объектов и производства товаров для строительства объектов, – в размере 15 процентов к плановой себестоимости производства и реализации (без учета расходов, связанных с их транспортировкой до места применения);</w:t>
      </w:r>
    </w:p>
    <w:p w:rsidR="00790F40" w:rsidRDefault="00790F40">
      <w:pPr>
        <w:pStyle w:val="underpoint"/>
      </w:pPr>
      <w:r>
        <w:t xml:space="preserve">1.2. для производителей, выполняющих функцию заказчика и (или) подрядчика в строительной деятельности, за исключением указанных в пункте 3 настоящего постановления, предельный максимальный норматив рентабельности, используемый для определения суммы прибыли, подлежащей включению в цены на товары, применяемые </w:t>
      </w:r>
      <w:r>
        <w:lastRenderedPageBreak/>
        <w:t>при выполнении строительных работ, – в размере 20 процентов к плановой себестоимости производства (без учета расходов, связанных с их транспортировкой до места применения);</w:t>
      </w:r>
    </w:p>
    <w:p w:rsidR="00790F40" w:rsidRDefault="00790F40">
      <w:pPr>
        <w:pStyle w:val="underpoint"/>
      </w:pPr>
      <w:r>
        <w:t>1.3. для импортеров, за исключением указанных в абзаце третьем пункта 2 настоящего постановления, предельную максимальную надбавку, подлежащую включению в отпускные цены на товары, в размере 15 процентов к контрактной цене и расходам по импорту (таможенным пошлинам и сборам, страхованию груза, транспортным расходам);</w:t>
      </w:r>
    </w:p>
    <w:p w:rsidR="00790F40" w:rsidRDefault="00790F40">
      <w:pPr>
        <w:pStyle w:val="underpoint"/>
      </w:pPr>
      <w:r>
        <w:t>1.4. для субъектов, осуществляющих оптовую торговлю, за исключением указанных в пункте 1</w:t>
      </w:r>
      <w:r>
        <w:rPr>
          <w:vertAlign w:val="superscript"/>
        </w:rPr>
        <w:t>1</w:t>
      </w:r>
      <w:r>
        <w:t xml:space="preserve"> и абзаце четвертом пункта 2 настоящего постановления, предельную максимальную оптовую надбавку, подлежащую включению в отпускные цены на товары, в размере 10 процентов (независимо от количества участвующих посредников) к отпускным ценам, сформированным производителями или импортерами с учетом ограничений, установленных абзацем четвертым подпункта 1.1 и подпунктом 1.3 настоящего пункта, а также к отпускным ценам, сформированным производителями, указанными в абзаце шестом части первой пункта 7 настоящего постановления.</w:t>
      </w:r>
    </w:p>
    <w:p w:rsidR="00790F40" w:rsidRDefault="00790F40">
      <w:pPr>
        <w:pStyle w:val="point"/>
      </w:pPr>
      <w:r>
        <w:t>1</w:t>
      </w:r>
      <w:r>
        <w:rPr>
          <w:vertAlign w:val="superscript"/>
        </w:rPr>
        <w:t>1</w:t>
      </w:r>
      <w:r>
        <w:t>. Установить на товары, предназначенные для использования при строительстве объектов, а также при производстве материалов для строительства, приобретенные субъектами, осуществляющими оптовую торговлю, на биржевых торгах открытого акционерного общества «Белорусская универсальная товарная биржа», предельную максимальную оптовую надбавку, подлежащую включению в отпускные цены на товары, в размере 10 процентов (независимо от количества участвующих посредников) к цене сделки, заключенной на биржевых торгах открытого акционерного общества «Белорусская универсальная товарная биржа».</w:t>
      </w:r>
    </w:p>
    <w:p w:rsidR="00790F40" w:rsidRDefault="00790F40">
      <w:pPr>
        <w:pStyle w:val="point"/>
      </w:pPr>
      <w:r>
        <w:t>2. Установить на </w:t>
      </w:r>
      <w:proofErr w:type="spellStart"/>
      <w:r>
        <w:t>лесо</w:t>
      </w:r>
      <w:proofErr w:type="spellEnd"/>
      <w:r>
        <w:t>- и пиломатериалы, предназначенные для использования при строительстве жилых домов в сельской местности:</w:t>
      </w:r>
    </w:p>
    <w:p w:rsidR="00790F40" w:rsidRDefault="00790F40">
      <w:pPr>
        <w:pStyle w:val="newncpi"/>
      </w:pPr>
      <w:r>
        <w:t>для производителей предельный максимальный норматив рентабельности, используемый для определения суммы прибыли, подлежащей включению в отпускные цены на товары, – в размере 5 процентов к плановой себестоимости производства и реализации (без учета расходов, связанных с их транспортировкой до места применения);</w:t>
      </w:r>
    </w:p>
    <w:p w:rsidR="00790F40" w:rsidRDefault="00790F40">
      <w:pPr>
        <w:pStyle w:val="newncpi"/>
      </w:pPr>
      <w:r>
        <w:t>для импортеров предельную максимальную надбавку к контрактной цене и расходам по импорту (таможенным пошлинам и сборам, страхованию груза, транспортным расходам) – в размере 5 процентов;</w:t>
      </w:r>
    </w:p>
    <w:p w:rsidR="00790F40" w:rsidRDefault="00790F40">
      <w:pPr>
        <w:pStyle w:val="newncpi"/>
      </w:pPr>
      <w:r>
        <w:t>для субъектов, осуществляющих оптовую торговлю, предельную максимальную оптовую надбавку к отпускным ценам, сформированным производителями или импортерами в соответствии с абзацами вторым и третьим настоящего пункта, – в размере 5 процентов.</w:t>
      </w:r>
    </w:p>
    <w:p w:rsidR="00790F40" w:rsidRDefault="00790F40">
      <w:pPr>
        <w:pStyle w:val="point"/>
      </w:pPr>
      <w:r>
        <w:t>3. Установить для производителей товаров, в том числе выполняющих функцию заказчика и (или) подрядчика, предназначенных для использования при строительстве улиц населенных пунктов, за исключением улиц населенных пунктов, относящихся к автомобильным дорогам общего пользования, предельный максимальный норматив рентабельности, используемый для определения суммы прибыли, подлежащей включению в отпускные цены (цены) на товары, – в размере 12 процентов к плановой себестоимости.</w:t>
      </w:r>
    </w:p>
    <w:p w:rsidR="00790F40" w:rsidRDefault="00790F40">
      <w:pPr>
        <w:pStyle w:val="point"/>
      </w:pPr>
      <w:r>
        <w:t>4. В случае включения в отпускную цену товара производителями, импортерами, субъектами, осуществляющими оптовую торговлю, стоимости доставки товара до покупателя:</w:t>
      </w:r>
    </w:p>
    <w:p w:rsidR="00790F40" w:rsidRDefault="00790F40">
      <w:pPr>
        <w:pStyle w:val="newncpi"/>
      </w:pPr>
      <w:r>
        <w:t>собственным транспортом применяется предельный максимальный норматив рентабельности в размере 20 % к плановой себестоимости доставки;</w:t>
      </w:r>
    </w:p>
    <w:p w:rsidR="00790F40" w:rsidRDefault="00790F40">
      <w:pPr>
        <w:pStyle w:val="newncpi"/>
      </w:pPr>
      <w:r>
        <w:t>сторонним транспортом стоимость доставки определяется на основании плановых затрат по транспортировке без начисления на них рентабельности и надбавок.</w:t>
      </w:r>
    </w:p>
    <w:p w:rsidR="00790F40" w:rsidRDefault="00790F40">
      <w:pPr>
        <w:pStyle w:val="point"/>
      </w:pPr>
      <w:r>
        <w:t xml:space="preserve">5. Не допускается повышение в текущем году отпускных цен (цен) на товары (по каждой товарной позиции*) более 15 процентов в год по сравнению с отпускными ценами (ценами), установленными (сформированными) на дату последнего установления </w:t>
      </w:r>
      <w:r>
        <w:lastRenderedPageBreak/>
        <w:t>цены в декабре предшествующего года (при отсутствии товаров на эту дату – на дату первого установления (формирования) отпускной цены (цены) в текущем году) без учета отпускных цен (цен), сниженных в рамках проведения мероприятий, направленных на продвижение товаров и привлечение покупателей, а также цен на неликвидные остатки товаров**.</w:t>
      </w:r>
    </w:p>
    <w:p w:rsidR="00790F40" w:rsidRDefault="00790F40">
      <w:pPr>
        <w:pStyle w:val="newncpi"/>
      </w:pPr>
      <w:r>
        <w:t>Допускается повышение в текущем году отпускных цен (цен) на товары (по каждой товарной позиции), приобретенные*** импортерами и субъектами, осуществляющими оптовую торговлю, по договорам, заключенным до 14 марта 2025 г., до 30 процентов в годовом выражении по сравнению с отпускными ценами (ценами), установленными (сформированными) на дату последнего установления цены в декабре предшествующего года (при отсутствии товаров на эту дату – на дату первого установления (формирования) отпускной цены (цены) в текущем году) без учета отпускных цен (цен), сниженных в рамках проведения мероприятий, направленных на продвижение товаров и привлечение покупателей, а также цен на неликвидные остатки товаров.</w:t>
      </w:r>
    </w:p>
    <w:p w:rsidR="00790F40" w:rsidRDefault="00790F40">
      <w:pPr>
        <w:pStyle w:val="newncpi"/>
      </w:pPr>
      <w:r>
        <w:t>Сравнение отпускных цен (цен) на товары осуществляется исходя из назначения их использования, без учета затрат по их доставке до потребителя.</w:t>
      </w:r>
    </w:p>
    <w:p w:rsidR="00790F40" w:rsidRDefault="00790F40">
      <w:pPr>
        <w:pStyle w:val="newncpi"/>
      </w:pPr>
      <w:r>
        <w:t>Положения части первой настоящего пункта не применяются в случае, когда субъект, осуществляющий оптовую торговлю, приобрел товар на биржевых торгах открытого акционерного общества «Белорусская универсальная товарная биржа», а также у производителей, указанных в абзаце шестом части первой пункта 7 настоящего постановления.</w:t>
      </w:r>
    </w:p>
    <w:p w:rsidR="00790F40" w:rsidRDefault="00790F40">
      <w:pPr>
        <w:pStyle w:val="newncpi"/>
      </w:pPr>
      <w:r>
        <w:t>Положения части второй настоящего пункта применяются в случае, если:</w:t>
      </w:r>
    </w:p>
    <w:p w:rsidR="00790F40" w:rsidRDefault="00790F40">
      <w:pPr>
        <w:pStyle w:val="newncpi"/>
      </w:pPr>
      <w:r>
        <w:t>цена импортера, сформированная с учетом ограничений, установленных подпунктом 1.3 пункта 1 настоящего постановления, превышает рост отпускных цен в текущем году более 15 процентов в годовом выражении;</w:t>
      </w:r>
    </w:p>
    <w:p w:rsidR="00790F40" w:rsidRDefault="00790F40">
      <w:pPr>
        <w:pStyle w:val="newncpi"/>
      </w:pPr>
      <w:r>
        <w:t>субъект, осуществляющий оптовую торговлю, приобрел товар по цене, сформированной продавцом в 2025 году с учетом ее повышения в текущем году более 15 процентов в годовом выражении.</w:t>
      </w:r>
    </w:p>
    <w:p w:rsidR="00790F40" w:rsidRDefault="00790F40">
      <w:pPr>
        <w:pStyle w:val="snoskiline"/>
      </w:pPr>
      <w:r>
        <w:t>______________________________</w:t>
      </w:r>
    </w:p>
    <w:p w:rsidR="00790F40" w:rsidRDefault="00790F40">
      <w:pPr>
        <w:pStyle w:val="snoski"/>
        <w:ind w:firstLine="567"/>
      </w:pPr>
      <w:r>
        <w:t>* В целях настоящего постановления под товарной позицией понимаются товары (по позициям прейскуранта цен), идентичные по своему функциональному назначению, применению, качественным, техническим и иным характеристикам.</w:t>
      </w:r>
    </w:p>
    <w:p w:rsidR="00790F40" w:rsidRDefault="00790F40">
      <w:pPr>
        <w:pStyle w:val="snoski"/>
        <w:ind w:firstLine="567"/>
      </w:pPr>
      <w:r>
        <w:t>** В целях настоящего постановления под неликвидными остатками товаров понимаются товары, в отношении которых нет разумных перспектив на продажу.</w:t>
      </w:r>
    </w:p>
    <w:p w:rsidR="00790F40" w:rsidRDefault="00790F40">
      <w:pPr>
        <w:pStyle w:val="snoski"/>
        <w:spacing w:after="240"/>
        <w:ind w:firstLine="567"/>
      </w:pPr>
      <w:r>
        <w:t>*** В целях настоящего постановления под приобретенными товарами понимаются товары, полученные согласно товаросопроводительным документам, оформленным в установленном порядке.</w:t>
      </w:r>
    </w:p>
    <w:p w:rsidR="00790F40" w:rsidRDefault="00790F40">
      <w:pPr>
        <w:pStyle w:val="point"/>
      </w:pPr>
      <w:r>
        <w:t>6. Действие настоящего постановления распространяется на юридических лиц и индивидуальных предпринимателей, осуществляющих производство (ввоз) и реализацию товаров, определенных в приложении к настоящему постановлению, предназначенных для использования при строительстве объектов на территории Республики Беларусь независимо от источников финансирования и при производстве товаров для строительства объектов, цены на которые подлежат регулированию.</w:t>
      </w:r>
    </w:p>
    <w:p w:rsidR="00790F40" w:rsidRDefault="00790F40">
      <w:pPr>
        <w:pStyle w:val="point"/>
      </w:pPr>
      <w:r>
        <w:t>7. Настоящее постановление не применяется при формировании цен (отпускных цен) на товары, реализуемые:</w:t>
      </w:r>
    </w:p>
    <w:p w:rsidR="00790F40" w:rsidRDefault="00790F40">
      <w:pPr>
        <w:pStyle w:val="newncpi"/>
      </w:pPr>
      <w:r>
        <w:t>по внешнеторговому договору, для производства товаров для дальнейшей реализации по внешнеторговому договору, субъекту торговли для дальнейшей реализации по внешнеторговому договору;</w:t>
      </w:r>
    </w:p>
    <w:p w:rsidR="00790F40" w:rsidRDefault="00790F40">
      <w:pPr>
        <w:pStyle w:val="newncpi"/>
      </w:pPr>
      <w:r>
        <w:t>для последующей розничной торговли, а также реализации в магазинах, павильонах, киосках на цели и субъектам, которые указаны в абзаце четвертом настоящей части, в том числе через субъектов, осуществляющих оптовую торговлю;</w:t>
      </w:r>
    </w:p>
    <w:p w:rsidR="00790F40" w:rsidRDefault="00790F40">
      <w:pPr>
        <w:pStyle w:val="newncpi"/>
      </w:pPr>
      <w:r>
        <w:t>в магазинах, павильонах, киосках юридическим лицам и индивидуальным предпринимателям, приобретающим товары для целей текущего ремонта и (или) благоустройства собственных территорий;</w:t>
      </w:r>
    </w:p>
    <w:p w:rsidR="00790F40" w:rsidRDefault="00790F40">
      <w:pPr>
        <w:pStyle w:val="newncpi"/>
      </w:pPr>
      <w:r>
        <w:lastRenderedPageBreak/>
        <w:t>по сделкам, которые юридические лица и индивидуальные предприниматели заключают на биржевых торгах открытого акционерного общества «Белорусская универсальная товарная биржа»;</w:t>
      </w:r>
    </w:p>
    <w:p w:rsidR="00790F40" w:rsidRDefault="00790F40">
      <w:pPr>
        <w:pStyle w:val="newncpi"/>
      </w:pPr>
      <w:r>
        <w:t xml:space="preserve">производителями товаров, у которых численность инвалидов составляет не менее 50 процентов от списочной численности </w:t>
      </w:r>
      <w:proofErr w:type="gramStart"/>
      <w:r>
        <w:t>работников</w:t>
      </w:r>
      <w:proofErr w:type="gramEnd"/>
      <w:r>
        <w:t xml:space="preserve"> и доля оплаты труда инвалидов в общем фонде оплаты труда производителя составляет не менее 25 процентов.</w:t>
      </w:r>
    </w:p>
    <w:p w:rsidR="00790F40" w:rsidRDefault="00790F40">
      <w:pPr>
        <w:pStyle w:val="newncpi"/>
      </w:pPr>
      <w:r>
        <w:t>Основанием для реализации товаров по нерегулируемым ценам в случаях, уставленных в абзацах втором–четвертом части первой настоящего пункта, является информация о цели приобретения товара, указываемая в документах на закупку товаров и (или) в договорах купли-продажи.</w:t>
      </w:r>
    </w:p>
    <w:p w:rsidR="00790F40" w:rsidRDefault="00790F40">
      <w:pPr>
        <w:pStyle w:val="point"/>
      </w:pPr>
      <w:r>
        <w:t>8. Утвердить Инструкцию о порядке установления и применения регулируемых цен на товары (прилагается).</w:t>
      </w:r>
    </w:p>
    <w:p w:rsidR="00790F40" w:rsidRDefault="00790F40">
      <w:pPr>
        <w:pStyle w:val="point"/>
      </w:pPr>
      <w:r>
        <w:t>9. Признать утратившим силу постановление Министерства архитектуры и строительства Республики Беларусь от 30 июля 2021 г. № 73 «О порядке регулирования цен на строительные материалы, изделия, конструкции».</w:t>
      </w:r>
    </w:p>
    <w:p w:rsidR="00790F40" w:rsidRDefault="00790F40">
      <w:pPr>
        <w:pStyle w:val="point"/>
      </w:pPr>
      <w:r>
        <w:t>10. Настоящее постановление вступает в силу со дня, следующего за днем его официального опубликования, и распространяет свое действие на операции по отгрузке товаров, совершенные после вступления его в силу.</w:t>
      </w:r>
    </w:p>
    <w:p w:rsidR="00790F40" w:rsidRDefault="00790F40">
      <w:pPr>
        <w:pStyle w:val="newncpi"/>
      </w:pPr>
      <w:r>
        <w:t>Договоры, заключенные и не исполненные до вступления в силу настоящего постановления, подлежат приведению в соответствие с нормами настоящего постановления.</w:t>
      </w:r>
    </w:p>
    <w:p w:rsidR="00790F40" w:rsidRDefault="00790F40">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790F40">
        <w:tc>
          <w:tcPr>
            <w:tcW w:w="2500" w:type="pct"/>
            <w:tcMar>
              <w:top w:w="0" w:type="dxa"/>
              <w:left w:w="6" w:type="dxa"/>
              <w:bottom w:w="0" w:type="dxa"/>
              <w:right w:w="6" w:type="dxa"/>
            </w:tcMar>
            <w:vAlign w:val="bottom"/>
            <w:hideMark/>
          </w:tcPr>
          <w:p w:rsidR="00790F40" w:rsidRDefault="00790F40">
            <w:pPr>
              <w:pStyle w:val="newncpi0"/>
              <w:jc w:val="left"/>
            </w:pPr>
            <w:r>
              <w:rPr>
                <w:rStyle w:val="post"/>
              </w:rPr>
              <w:t>Министр</w:t>
            </w:r>
          </w:p>
        </w:tc>
        <w:tc>
          <w:tcPr>
            <w:tcW w:w="2500" w:type="pct"/>
            <w:tcMar>
              <w:top w:w="0" w:type="dxa"/>
              <w:left w:w="6" w:type="dxa"/>
              <w:bottom w:w="0" w:type="dxa"/>
              <w:right w:w="6" w:type="dxa"/>
            </w:tcMar>
            <w:vAlign w:val="bottom"/>
            <w:hideMark/>
          </w:tcPr>
          <w:p w:rsidR="00790F40" w:rsidRDefault="00790F40">
            <w:pPr>
              <w:pStyle w:val="newncpi0"/>
              <w:jc w:val="right"/>
            </w:pPr>
            <w:proofErr w:type="spellStart"/>
            <w:r>
              <w:rPr>
                <w:rStyle w:val="pers"/>
              </w:rPr>
              <w:t>Р.В.Пархамович</w:t>
            </w:r>
            <w:proofErr w:type="spellEnd"/>
          </w:p>
        </w:tc>
      </w:tr>
    </w:tbl>
    <w:p w:rsidR="00790F40" w:rsidRDefault="00790F40">
      <w:pPr>
        <w:pStyle w:val="newncpi0"/>
      </w:pPr>
      <w:r>
        <w:t> </w:t>
      </w:r>
    </w:p>
    <w:tbl>
      <w:tblPr>
        <w:tblW w:w="5000" w:type="pct"/>
        <w:tblCellMar>
          <w:left w:w="0" w:type="dxa"/>
          <w:right w:w="0" w:type="dxa"/>
        </w:tblCellMar>
        <w:tblLook w:val="04A0" w:firstRow="1" w:lastRow="0" w:firstColumn="1" w:lastColumn="0" w:noHBand="0" w:noVBand="1"/>
      </w:tblPr>
      <w:tblGrid>
        <w:gridCol w:w="6380"/>
        <w:gridCol w:w="2977"/>
      </w:tblGrid>
      <w:tr w:rsidR="00790F40">
        <w:tc>
          <w:tcPr>
            <w:tcW w:w="3409" w:type="pct"/>
            <w:tcMar>
              <w:top w:w="0" w:type="dxa"/>
              <w:left w:w="6" w:type="dxa"/>
              <w:bottom w:w="0" w:type="dxa"/>
              <w:right w:w="6" w:type="dxa"/>
            </w:tcMar>
            <w:hideMark/>
          </w:tcPr>
          <w:p w:rsidR="00790F40" w:rsidRDefault="00790F40">
            <w:pPr>
              <w:pStyle w:val="newncpi"/>
            </w:pPr>
            <w:r>
              <w:t> </w:t>
            </w:r>
          </w:p>
        </w:tc>
        <w:tc>
          <w:tcPr>
            <w:tcW w:w="1591" w:type="pct"/>
            <w:tcMar>
              <w:top w:w="0" w:type="dxa"/>
              <w:left w:w="6" w:type="dxa"/>
              <w:bottom w:w="0" w:type="dxa"/>
              <w:right w:w="6" w:type="dxa"/>
            </w:tcMar>
            <w:hideMark/>
          </w:tcPr>
          <w:p w:rsidR="00790F40" w:rsidRDefault="00790F40">
            <w:pPr>
              <w:pStyle w:val="capu1"/>
            </w:pPr>
            <w:r>
              <w:t>УТВЕРЖДЕНО</w:t>
            </w:r>
          </w:p>
          <w:p w:rsidR="00790F40" w:rsidRDefault="00790F40">
            <w:pPr>
              <w:pStyle w:val="cap1"/>
            </w:pPr>
            <w:r>
              <w:t>Постановление</w:t>
            </w:r>
            <w:r>
              <w:br/>
              <w:t>Министерства</w:t>
            </w:r>
            <w:r>
              <w:br/>
              <w:t>архитектуры и строительства</w:t>
            </w:r>
            <w:r>
              <w:br/>
              <w:t>Республики Беларусь</w:t>
            </w:r>
          </w:p>
          <w:p w:rsidR="00790F40" w:rsidRDefault="00790F40">
            <w:pPr>
              <w:pStyle w:val="cap1"/>
            </w:pPr>
            <w:r>
              <w:t>19.12.2023 № 125</w:t>
            </w:r>
          </w:p>
        </w:tc>
      </w:tr>
    </w:tbl>
    <w:p w:rsidR="00790F40" w:rsidRDefault="00790F40">
      <w:pPr>
        <w:pStyle w:val="titleu"/>
      </w:pPr>
      <w:r>
        <w:t>ИНСТРУКЦИЯ</w:t>
      </w:r>
      <w:r>
        <w:br/>
        <w:t>о порядке установления и применения регулируемых цен на товары</w:t>
      </w:r>
    </w:p>
    <w:p w:rsidR="00790F40" w:rsidRDefault="00790F40">
      <w:pPr>
        <w:pStyle w:val="point"/>
      </w:pPr>
      <w:r>
        <w:t>1. Настоящая Инструкция определяет порядок установления и применения регулируемых цен на товары, регулируемые согласно Указу Президента Республики Беларусь от 25 февраля 2011 г. № 72, Указу Президента Республики Беларусь от 13 июня 2023 г. № 171 «О принятии мер в области ценообразования».</w:t>
      </w:r>
    </w:p>
    <w:p w:rsidR="00790F40" w:rsidRDefault="00790F40">
      <w:pPr>
        <w:pStyle w:val="point"/>
      </w:pPr>
      <w:r>
        <w:t>2. Для целей настоящей Инструкции используются следующие термины и их определения:</w:t>
      </w:r>
    </w:p>
    <w:p w:rsidR="00790F40" w:rsidRDefault="00790F40">
      <w:pPr>
        <w:pStyle w:val="newncpi"/>
      </w:pPr>
      <w:r>
        <w:t>дата установления отпускной цены – дата составления экономических расчетов, подтверждающих уровень отпускных цен на товары, и помещения их в прейскурант цен;</w:t>
      </w:r>
    </w:p>
    <w:p w:rsidR="00790F40" w:rsidRDefault="00790F40">
      <w:pPr>
        <w:pStyle w:val="newncpi"/>
      </w:pPr>
      <w:r>
        <w:t>импортер – юридическое лицо или индивидуальный предприниматель, осуществляющие ввоз товара на территорию республики для его дальнейшей реализации;</w:t>
      </w:r>
    </w:p>
    <w:p w:rsidR="00790F40" w:rsidRDefault="00790F40">
      <w:pPr>
        <w:pStyle w:val="newncpi"/>
      </w:pPr>
      <w:r>
        <w:t>оптовая надбавка – надбавка к отпускной цене производителя или импортера, применяемая юридическим лицом или индивидуальным предпринимателем при оптовой торговле товаром, в отношении которого оно или он не является производителем или импортером;</w:t>
      </w:r>
    </w:p>
    <w:p w:rsidR="00790F40" w:rsidRDefault="00790F40">
      <w:pPr>
        <w:pStyle w:val="newncpi"/>
      </w:pPr>
      <w:r>
        <w:t>отпускная цена – цена на товар, подлежащий реализации, устанавливаемая производителем или субъектом торговли;</w:t>
      </w:r>
    </w:p>
    <w:p w:rsidR="00790F40" w:rsidRDefault="00790F40">
      <w:pPr>
        <w:pStyle w:val="newncpi"/>
      </w:pPr>
      <w:r>
        <w:t xml:space="preserve">плановые затраты (себестоимость) – ориентировочная стоимость затрат на производство товара в будущем (основанных на фактических данных предыдущего </w:t>
      </w:r>
      <w:r>
        <w:lastRenderedPageBreak/>
        <w:t>периода либо подтвержденной информации о предстоящих расходах), в том числе определенных с учетом плановых показателей производства продукции;</w:t>
      </w:r>
    </w:p>
    <w:p w:rsidR="00790F40" w:rsidRDefault="00790F40">
      <w:pPr>
        <w:pStyle w:val="newncpi"/>
      </w:pPr>
      <w:r>
        <w:t>прейскурант цен – сборник (справочник) регулируемых цен на товары;</w:t>
      </w:r>
    </w:p>
    <w:p w:rsidR="00790F40" w:rsidRDefault="00790F40">
      <w:pPr>
        <w:pStyle w:val="newncpi"/>
      </w:pPr>
      <w:r>
        <w:t>производитель – юридическое лицо или индивидуальный предприниматель, осуществляющие производство товаров или являющиеся собственником товара, произведенного по договору подряда на переработку;</w:t>
      </w:r>
    </w:p>
    <w:p w:rsidR="00790F40" w:rsidRDefault="00790F40">
      <w:pPr>
        <w:pStyle w:val="newncpi"/>
      </w:pPr>
      <w:r>
        <w:t>субъект торговли – импортер или субъект хозяйствования, осуществляющий оптовую торговлю товаром, в отношении которого он не является производителем или импортером.</w:t>
      </w:r>
    </w:p>
    <w:p w:rsidR="00790F40" w:rsidRDefault="00790F40">
      <w:pPr>
        <w:pStyle w:val="point"/>
      </w:pPr>
      <w:r>
        <w:t>3. Отпускные цены (цены) на товары определяются производителем на основе плановых затрат (себестоимости) на производство и реализацию товаров, налогов и иных обязательных платежей, установленных законодательством, прибыли с учетом ограничений, установленных подпунктами 1.1 и 1.2 пункта 1 и абзацем вторым пункта 2 постановления, утвердившего настоящую Инструкцию, и конъюнктуры рынка. Плановые затраты (себестоимость) определяются производителем самостоятельно исходя из принятой учетной политики по вопросам ценообразования. При отсутствии раздельного учета затрат по товарным позициям затраты распределяются в соответствии с учетной политикой. Затраты рассчитываются по нормам (нормативам), утверждаемым производителем самостоятельно, если иное не установлено законодательством.</w:t>
      </w:r>
    </w:p>
    <w:p w:rsidR="00790F40" w:rsidRDefault="00790F40">
      <w:pPr>
        <w:pStyle w:val="newncpi"/>
      </w:pPr>
      <w:r>
        <w:t>Норматив рентабельности, не превышающий предельный, устанавливается юридическим лицом или индивидуальным предпринимателем по каждой товарной позиции.</w:t>
      </w:r>
    </w:p>
    <w:p w:rsidR="00790F40" w:rsidRDefault="00790F40">
      <w:pPr>
        <w:pStyle w:val="point"/>
      </w:pPr>
      <w:r>
        <w:t>4. Отпускные цены на товары устанавливаются импортерами исходя из контрактных цен, таможенных пошлин и сборов, расходов на страхование груза, транспортных расходов по приобретению товара, процентов по кредитам (займам, гарантиям), исчисленным до момента оплаты покупателем за поставляемые товары согласно договору, комиссионных вознаграждений за осуществление международных платежей, платы за оформление таможенной декларации, паспорта сделки, других расходов в соответствии с законодательством, надбавок с учетом ограничений, установленных подпунктом 1.3 пункта 1 и абзацем третьим пункта 2 постановления, утвердившего настоящую Инструкцию, и конъюнктуры рынка.</w:t>
      </w:r>
    </w:p>
    <w:p w:rsidR="00790F40" w:rsidRDefault="00790F40">
      <w:pPr>
        <w:pStyle w:val="newncpi"/>
      </w:pPr>
      <w:r>
        <w:t>Контрактные цены, установленные в иностранной валюте, пересчитываются импортером по официальному курсу Национального банка на дату установления отпускной цены. В случае изменения официального курса Национального банка в течение срока действия утвержденных цен отпускные цены не пересчитываются.</w:t>
      </w:r>
    </w:p>
    <w:p w:rsidR="00790F40" w:rsidRDefault="00790F40">
      <w:pPr>
        <w:pStyle w:val="point"/>
      </w:pPr>
      <w:r>
        <w:t>5. Отпускные цены на товары формируются с учетом или без учета их доставки до потребителя. Установленные в подпунктах 1.3 и 1.4 пункта 1 и абзацах третьем и четвертом пункта 2 постановления, утвердившего настоящую Инструкцию, предельные максимальные надбавки не учитывают стоимость доставки товара до покупателя.</w:t>
      </w:r>
    </w:p>
    <w:p w:rsidR="00790F40" w:rsidRDefault="00790F40">
      <w:pPr>
        <w:pStyle w:val="newncpi"/>
      </w:pPr>
      <w:r>
        <w:t>При приобретении товаров по отпускным ценам, сформированным без учета стоимости доставки, субъекты торговли относят сумму фактических транспортных расходов на увеличение отпускной цены.</w:t>
      </w:r>
    </w:p>
    <w:p w:rsidR="00790F40" w:rsidRDefault="00790F40">
      <w:pPr>
        <w:pStyle w:val="newncpi"/>
      </w:pPr>
      <w:r>
        <w:t>В случае наличия у субъекта торговли нескольких торговых объектов, находящихся в разных административно-территориальных единицах, отпускные цены могут формироваться на каждый торговый объект с учетом затрат по перемещению товара до торгового объекта.</w:t>
      </w:r>
    </w:p>
    <w:p w:rsidR="00790F40" w:rsidRDefault="00790F40">
      <w:pPr>
        <w:pStyle w:val="point"/>
      </w:pPr>
      <w:r>
        <w:t>6. Субъекты торговли, которые несут затраты по доработке, фасовке товаров, а также иные расходы, связанные с выполнением установленных законодательством требований при ввозе и реализации товара, могут включать в отпускные цены такие экономически подтвержденные расходы. Надбавки на данные затраты не начисляются.</w:t>
      </w:r>
    </w:p>
    <w:p w:rsidR="00790F40" w:rsidRDefault="00790F40">
      <w:pPr>
        <w:pStyle w:val="point"/>
      </w:pPr>
      <w:r>
        <w:t xml:space="preserve">7. Отпускные цены (цены) на товары устанавливаются без налога на добавленную стоимость в белорусских рублях за принятую единицу измерения. Налоги и иные </w:t>
      </w:r>
      <w:r>
        <w:lastRenderedPageBreak/>
        <w:t>обязательные платежи, установленные законодательством, включаются в отпускные цены (цены) в размерах и с учетом порядка их исчисления согласно законодательству.</w:t>
      </w:r>
    </w:p>
    <w:p w:rsidR="00790F40" w:rsidRDefault="00790F40">
      <w:pPr>
        <w:pStyle w:val="point"/>
      </w:pPr>
      <w:r>
        <w:t>8. Отпускные цены (цены), устанавливаемые производителями, должны быть подтверждены экономическими расчетами (плановой калькуляцией с расшифровкой статей затрат). В течение срока действия установленной и согласованной отпускной цены плановая калькуляция не пересчитывается.</w:t>
      </w:r>
    </w:p>
    <w:p w:rsidR="00790F40" w:rsidRDefault="00790F40">
      <w:pPr>
        <w:pStyle w:val="newncpi"/>
      </w:pPr>
      <w:r>
        <w:t>Отпускные цены, устанавливаемые субъектами торговли, должны быть подтверждены экономическими расчетами.</w:t>
      </w:r>
    </w:p>
    <w:p w:rsidR="00790F40" w:rsidRDefault="00790F40">
      <w:pPr>
        <w:pStyle w:val="newncpi"/>
      </w:pPr>
      <w:r>
        <w:t>Экономические расчеты по обоснованию уровня применяемых надбавок не составляются.</w:t>
      </w:r>
    </w:p>
    <w:p w:rsidR="00790F40" w:rsidRDefault="00790F40">
      <w:pPr>
        <w:pStyle w:val="newncpi"/>
      </w:pPr>
      <w:r>
        <w:t>Составление экономических расчетов, обосновывающих уровень применяемых отпускных цен (цен), индивидуальными предпринимателями, а также юридическими лицами, указанными в абзаце втором подпункта 2.1</w:t>
      </w:r>
      <w:r>
        <w:rPr>
          <w:vertAlign w:val="superscript"/>
        </w:rPr>
        <w:t>1</w:t>
      </w:r>
      <w:r>
        <w:t xml:space="preserve"> пункта 2 Указа Президента Республики Беларусь от 25 февраля 2011 г. № 72, не является обязательным.</w:t>
      </w:r>
    </w:p>
    <w:p w:rsidR="00790F40" w:rsidRDefault="00790F40">
      <w:pPr>
        <w:pStyle w:val="newncpi"/>
      </w:pPr>
      <w:r>
        <w:t>Отпускные цены (цены) утверждаются руководителем (иным уполномоченным лицом) юридического лица или индивидуальным предпринимателем, согласовываются в случаях, установленных законодательством, и помещаются в прейскуранты цен.</w:t>
      </w:r>
    </w:p>
    <w:p w:rsidR="00790F40" w:rsidRDefault="00790F40">
      <w:pPr>
        <w:pStyle w:val="newncpi"/>
      </w:pPr>
      <w:r>
        <w:t>В случае формирования отпускных цен с учетом стоимости доставки товара до покупателя в прейскурант цен включаются отпускные цены без стоимости доставки.</w:t>
      </w:r>
    </w:p>
    <w:p w:rsidR="00790F40" w:rsidRDefault="00790F40">
      <w:pPr>
        <w:pStyle w:val="newncpi"/>
      </w:pPr>
      <w:r>
        <w:t xml:space="preserve">В случае осуществления доработки товара по индивидуальному требованию покупателя (колеровка краски, нарезка </w:t>
      </w:r>
      <w:proofErr w:type="spellStart"/>
      <w:r>
        <w:t>погонажных</w:t>
      </w:r>
      <w:proofErr w:type="spellEnd"/>
      <w:r>
        <w:t xml:space="preserve"> изделий и т.п.) в прейскурант цен помещается отпускная цена без учета стоимости доработки. Отпускная цена с учетом стоимости доработки согласовывается с покупателем в протоколе согласования цены либо в договоре.</w:t>
      </w:r>
    </w:p>
    <w:p w:rsidR="00790F40" w:rsidRDefault="00790F40">
      <w:pPr>
        <w:pStyle w:val="newncpi"/>
      </w:pPr>
      <w:r>
        <w:t>При участии субъектом торговли в процедурах закупки до приобретения товара на него формируется предварительная отпускная цена согласно положениям настоящей Инструкции исходя из имеющейся на момент формирования отпускной цены информации о товаре, которая помещается в прейскурант цен. После приобретения товара субъектом торговли формируется отпускная цена с корректировкой предварительной цены (если такие действия соответствуют законодательству о государственных закупках и (или) условиям заключенного договора), которая помещается в прейскурант цен.</w:t>
      </w:r>
    </w:p>
    <w:p w:rsidR="00790F40" w:rsidRDefault="00790F40">
      <w:pPr>
        <w:pStyle w:val="point"/>
      </w:pPr>
      <w:r>
        <w:t>9. Пересмотр сформированных отпускных цен (цен) осуществляется юридическими лицами или индивидуальными предпринимателями по мере необходимости.</w:t>
      </w:r>
    </w:p>
    <w:p w:rsidR="00790F40" w:rsidRDefault="00790F40">
      <w:pPr>
        <w:pStyle w:val="point"/>
      </w:pPr>
      <w:r>
        <w:t>10. Юридические лица и индивидуальные предприниматели при реализации товаров могут предоставлять покупателю скидки в соответствии с утвержденным порядком применения скидок.</w:t>
      </w:r>
    </w:p>
    <w:p w:rsidR="00790F40" w:rsidRDefault="00790F40">
      <w:pPr>
        <w:pStyle w:val="newncpi"/>
      </w:pPr>
      <w:r>
        <w:t>Порядок применения скидок должен содержать размеры скидок и условия, в зависимости от которых они предоставляются.</w:t>
      </w:r>
    </w:p>
    <w:p w:rsidR="00790F40" w:rsidRDefault="00790F40">
      <w:pPr>
        <w:pStyle w:val="newncpi"/>
      </w:pPr>
      <w:r>
        <w:t>При снижении отпускной цены плановая калькуляция и экономический расчет на размер предоставляемой скидки не составляются.</w:t>
      </w:r>
    </w:p>
    <w:p w:rsidR="00790F40" w:rsidRDefault="00790F40">
      <w:pPr>
        <w:pStyle w:val="newncpi"/>
      </w:pPr>
      <w:r>
        <w:t>При последующей реализации товаров оптовая надбавка исчисляется к отпускной цене, уменьшенной на размер предоставляемой скидки с учетом ограничений, установленных подпунктом 1.4 пункта 1 и абзацем четвертым пункта 2 постановления, утвердившего настоящую Инструкцию.</w:t>
      </w:r>
    </w:p>
    <w:p w:rsidR="00790F40" w:rsidRDefault="00790F40">
      <w:pPr>
        <w:pStyle w:val="point"/>
      </w:pPr>
      <w:r>
        <w:t>11. При реализации товаров по отпускным ценам с учетом предоставляемой скидки, а также при реализации товаров по разовым (индивидуальным) заказам отпускные цены согласовываются с покупателями в протоколах согласования цены или в договорах поставки (изготовления) товара.</w:t>
      </w:r>
    </w:p>
    <w:p w:rsidR="00790F40" w:rsidRDefault="00790F40">
      <w:pPr>
        <w:pStyle w:val="point"/>
      </w:pPr>
      <w:r>
        <w:t>12. Формирование отпускных цен в соответствии с пунктами 1–3 постановления, утвердившего настоящую Инструкцию, осуществляется исходя из назначения и (или) цели приобретения товара, указываемой в документах на закупку товаров и (или) в договорах поставки (купли-продажи).</w:t>
      </w:r>
    </w:p>
    <w:p w:rsidR="00790F40" w:rsidRDefault="00790F40">
      <w:pPr>
        <w:pStyle w:val="point"/>
      </w:pPr>
      <w:r>
        <w:lastRenderedPageBreak/>
        <w:t>13. В товарно-транспортной накладной (товарной накладной) в соответствии с частью второй пункта 5 Инструкции о порядке заполнения товарно-транспортной накладной и товарной накладной, утвержденной постановлением Министерства финансов Республики Беларусь от 30 июня 2016 г. № 58, указываются сведения, связанные с формированием регулируемой цены на товар:</w:t>
      </w:r>
    </w:p>
    <w:p w:rsidR="00790F40" w:rsidRDefault="00790F40">
      <w:pPr>
        <w:pStyle w:val="newncpi"/>
      </w:pPr>
      <w:r>
        <w:t>код товара согласно общегосударственному классификатору Республики Беларусь ОКРБ 007-2012 «Классификатор продукции по видам экономической деятельности», утвержденному постановлением Государственного комитета по стандартизации Республики Беларусь от 28 декабря 2012 г. № 83;</w:t>
      </w:r>
    </w:p>
    <w:p w:rsidR="00790F40" w:rsidRDefault="00790F40">
      <w:pPr>
        <w:pStyle w:val="newncpi"/>
      </w:pPr>
      <w:r>
        <w:t>статус продавца – производитель, импортер;</w:t>
      </w:r>
    </w:p>
    <w:p w:rsidR="00790F40" w:rsidRDefault="00790F40">
      <w:pPr>
        <w:pStyle w:val="newncpi"/>
      </w:pPr>
      <w:r>
        <w:t>отпускная цена производителя (импортера) – заполняется в случае оформления товарно-транспортной накладной (товарной накладной) субъектами, осуществляющими оптовую торговлю товаром, в отношении которого он не является производителем или импортером;</w:t>
      </w:r>
    </w:p>
    <w:p w:rsidR="00790F40" w:rsidRDefault="00790F40">
      <w:pPr>
        <w:pStyle w:val="newncpi"/>
      </w:pPr>
      <w:r>
        <w:t>процент оптовой надбавки к отпускной цене производителя либо импортера (суммарная надбавка всех звеньев поставок);</w:t>
      </w:r>
    </w:p>
    <w:p w:rsidR="00790F40" w:rsidRDefault="00790F40">
      <w:pPr>
        <w:pStyle w:val="newncpi"/>
      </w:pPr>
      <w:r>
        <w:t>включенная в отпускную цену товара стоимость доставки до пункта разгрузки, определенного договором.</w:t>
      </w:r>
    </w:p>
    <w:p w:rsidR="00790F40" w:rsidRDefault="00790F40">
      <w:pPr>
        <w:pStyle w:val="point"/>
      </w:pPr>
      <w:r>
        <w:t>14. Производители и субъекты торговли применяют отпускные цены на товары после предоставления в информационно-справочную систему мониторинга цен на материалы для строительства государственной информационной системы «</w:t>
      </w:r>
      <w:proofErr w:type="spellStart"/>
      <w:r>
        <w:t>Госстройпортал</w:t>
      </w:r>
      <w:proofErr w:type="spellEnd"/>
      <w:r>
        <w:t>» информации о ценах, включенных в прейскурант цен.</w:t>
      </w:r>
    </w:p>
    <w:p w:rsidR="00790F40" w:rsidRDefault="00790F40">
      <w:pPr>
        <w:pStyle w:val="newncpi"/>
      </w:pPr>
      <w:r>
        <w:t> </w:t>
      </w:r>
    </w:p>
    <w:p w:rsidR="00790F40" w:rsidRDefault="00790F40">
      <w:pPr>
        <w:pStyle w:val="newncpi0"/>
      </w:pPr>
      <w:r>
        <w:t> </w:t>
      </w:r>
    </w:p>
    <w:tbl>
      <w:tblPr>
        <w:tblW w:w="5000" w:type="pct"/>
        <w:tblCellMar>
          <w:left w:w="0" w:type="dxa"/>
          <w:right w:w="0" w:type="dxa"/>
        </w:tblCellMar>
        <w:tblLook w:val="04A0" w:firstRow="1" w:lastRow="0" w:firstColumn="1" w:lastColumn="0" w:noHBand="0" w:noVBand="1"/>
      </w:tblPr>
      <w:tblGrid>
        <w:gridCol w:w="6381"/>
        <w:gridCol w:w="2976"/>
      </w:tblGrid>
      <w:tr w:rsidR="00790F40">
        <w:tc>
          <w:tcPr>
            <w:tcW w:w="3410" w:type="pct"/>
            <w:tcMar>
              <w:top w:w="0" w:type="dxa"/>
              <w:left w:w="6" w:type="dxa"/>
              <w:bottom w:w="0" w:type="dxa"/>
              <w:right w:w="6" w:type="dxa"/>
            </w:tcMar>
            <w:hideMark/>
          </w:tcPr>
          <w:p w:rsidR="00790F40" w:rsidRDefault="00790F40">
            <w:pPr>
              <w:pStyle w:val="newncpi"/>
            </w:pPr>
            <w:r>
              <w:t> </w:t>
            </w:r>
          </w:p>
        </w:tc>
        <w:tc>
          <w:tcPr>
            <w:tcW w:w="1590" w:type="pct"/>
            <w:tcMar>
              <w:top w:w="0" w:type="dxa"/>
              <w:left w:w="6" w:type="dxa"/>
              <w:bottom w:w="0" w:type="dxa"/>
              <w:right w:w="6" w:type="dxa"/>
            </w:tcMar>
            <w:hideMark/>
          </w:tcPr>
          <w:p w:rsidR="00790F40" w:rsidRDefault="00790F40">
            <w:pPr>
              <w:pStyle w:val="append1"/>
            </w:pPr>
            <w:r>
              <w:t>Приложение</w:t>
            </w:r>
          </w:p>
          <w:p w:rsidR="00790F40" w:rsidRDefault="00790F40">
            <w:pPr>
              <w:pStyle w:val="append"/>
            </w:pPr>
            <w:r>
              <w:t>к постановлению</w:t>
            </w:r>
            <w:r>
              <w:br/>
              <w:t>Министерства архитектуры</w:t>
            </w:r>
            <w:r>
              <w:br/>
              <w:t>и строительства</w:t>
            </w:r>
            <w:r>
              <w:br/>
              <w:t>Республики Беларусь</w:t>
            </w:r>
            <w:r>
              <w:br/>
              <w:t>19.12.2023 № 125</w:t>
            </w:r>
            <w:r>
              <w:br/>
              <w:t>(в редакции постановления</w:t>
            </w:r>
            <w:r>
              <w:br/>
              <w:t>Министерства архитектуры</w:t>
            </w:r>
            <w:r>
              <w:br/>
              <w:t>и строительства</w:t>
            </w:r>
            <w:r>
              <w:br/>
              <w:t xml:space="preserve">Республики Беларусь 24.02.2025 № 28) </w:t>
            </w:r>
          </w:p>
        </w:tc>
      </w:tr>
    </w:tbl>
    <w:p w:rsidR="00790F40" w:rsidRDefault="00790F40">
      <w:pPr>
        <w:pStyle w:val="titlep"/>
        <w:jc w:val="left"/>
      </w:pPr>
      <w:r>
        <w:t>ПЕРЕЧЕНЬ</w:t>
      </w:r>
      <w:r>
        <w:br/>
        <w:t>товаров, производимых (ввозимых) и реализуемых на внутренний рынок юридическими лицами и индивидуальными предпринимателями (за исключением субъектов, осуществляющих розничную торговлю) и предназначенных для использования при строительстве объектов, а также при производстве материалов для строительства</w:t>
      </w:r>
    </w:p>
    <w:tbl>
      <w:tblPr>
        <w:tblW w:w="5000" w:type="pct"/>
        <w:tblCellMar>
          <w:left w:w="0" w:type="dxa"/>
          <w:right w:w="0" w:type="dxa"/>
        </w:tblCellMar>
        <w:tblLook w:val="04A0" w:firstRow="1" w:lastRow="0" w:firstColumn="1" w:lastColumn="0" w:noHBand="0" w:noVBand="1"/>
      </w:tblPr>
      <w:tblGrid>
        <w:gridCol w:w="4658"/>
        <w:gridCol w:w="4699"/>
      </w:tblGrid>
      <w:tr w:rsidR="00790F40">
        <w:trPr>
          <w:trHeight w:val="240"/>
        </w:trPr>
        <w:tc>
          <w:tcPr>
            <w:tcW w:w="248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90F40" w:rsidRDefault="00790F40">
            <w:pPr>
              <w:pStyle w:val="table10"/>
              <w:jc w:val="center"/>
            </w:pPr>
            <w:r>
              <w:t>Код общегосударственного классификатора Республики Беларусь ОКРБ 007-2012 «Классификатор продукции по видам экономической деятельности», утвержденного постановлением Государственного комитета по стандартизации Республики Беларусь от 28 декабря 2012 г. № 83</w:t>
            </w:r>
          </w:p>
        </w:tc>
        <w:tc>
          <w:tcPr>
            <w:tcW w:w="251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90F40" w:rsidRDefault="00790F40">
            <w:pPr>
              <w:pStyle w:val="table10"/>
              <w:jc w:val="center"/>
            </w:pPr>
            <w:r>
              <w:t>Наименование продукции*</w:t>
            </w:r>
          </w:p>
        </w:tc>
      </w:tr>
      <w:tr w:rsidR="00790F40">
        <w:trPr>
          <w:trHeight w:val="240"/>
        </w:trPr>
        <w:tc>
          <w:tcPr>
            <w:tcW w:w="2489" w:type="pct"/>
            <w:tcBorders>
              <w:top w:val="single" w:sz="4" w:space="0" w:color="auto"/>
            </w:tcBorders>
            <w:tcMar>
              <w:top w:w="0" w:type="dxa"/>
              <w:left w:w="6" w:type="dxa"/>
              <w:bottom w:w="0" w:type="dxa"/>
              <w:right w:w="6" w:type="dxa"/>
            </w:tcMar>
            <w:hideMark/>
          </w:tcPr>
          <w:p w:rsidR="00790F40" w:rsidRDefault="00790F40">
            <w:pPr>
              <w:pStyle w:val="table10"/>
              <w:spacing w:before="120"/>
            </w:pPr>
            <w:r>
              <w:t>02.2 (за исключением 02.20.13, 02.20.14)</w:t>
            </w:r>
          </w:p>
        </w:tc>
        <w:tc>
          <w:tcPr>
            <w:tcW w:w="2511" w:type="pct"/>
            <w:tcBorders>
              <w:top w:val="single" w:sz="4" w:space="0" w:color="auto"/>
            </w:tcBorders>
            <w:tcMar>
              <w:top w:w="0" w:type="dxa"/>
              <w:left w:w="6" w:type="dxa"/>
              <w:bottom w:w="0" w:type="dxa"/>
              <w:right w:w="6" w:type="dxa"/>
            </w:tcMar>
            <w:hideMark/>
          </w:tcPr>
          <w:p w:rsidR="00790F40" w:rsidRDefault="00790F40">
            <w:pPr>
              <w:pStyle w:val="table10"/>
              <w:spacing w:before="120"/>
            </w:pPr>
            <w:r>
              <w:t>древесина необработанная</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08.12.11</w:t>
            </w:r>
          </w:p>
        </w:tc>
        <w:tc>
          <w:tcPr>
            <w:tcW w:w="2511" w:type="pct"/>
            <w:tcMar>
              <w:top w:w="0" w:type="dxa"/>
              <w:left w:w="6" w:type="dxa"/>
              <w:bottom w:w="0" w:type="dxa"/>
              <w:right w:w="6" w:type="dxa"/>
            </w:tcMar>
            <w:hideMark/>
          </w:tcPr>
          <w:p w:rsidR="00790F40" w:rsidRDefault="00790F40">
            <w:pPr>
              <w:pStyle w:val="table10"/>
              <w:spacing w:before="120"/>
            </w:pPr>
            <w:r>
              <w:t>пески природные</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08.12.12.100</w:t>
            </w:r>
          </w:p>
        </w:tc>
        <w:tc>
          <w:tcPr>
            <w:tcW w:w="2511" w:type="pct"/>
            <w:tcMar>
              <w:top w:w="0" w:type="dxa"/>
              <w:left w:w="6" w:type="dxa"/>
              <w:bottom w:w="0" w:type="dxa"/>
              <w:right w:w="6" w:type="dxa"/>
            </w:tcMar>
            <w:hideMark/>
          </w:tcPr>
          <w:p w:rsidR="00790F40" w:rsidRDefault="00790F40">
            <w:pPr>
              <w:pStyle w:val="table10"/>
              <w:spacing w:before="120"/>
            </w:pPr>
            <w:r>
              <w:t xml:space="preserve">гравий, галька, кремневая галька и кремень, используемые в качестве заполнителя бетона, </w:t>
            </w:r>
            <w:r>
              <w:lastRenderedPageBreak/>
              <w:t>балластного слоя автомобильных и железных дорог и для аналогичных целей</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lastRenderedPageBreak/>
              <w:t>08.12.12.300</w:t>
            </w:r>
          </w:p>
        </w:tc>
        <w:tc>
          <w:tcPr>
            <w:tcW w:w="2511" w:type="pct"/>
            <w:tcMar>
              <w:top w:w="0" w:type="dxa"/>
              <w:left w:w="6" w:type="dxa"/>
              <w:bottom w:w="0" w:type="dxa"/>
              <w:right w:w="6" w:type="dxa"/>
            </w:tcMar>
            <w:hideMark/>
          </w:tcPr>
          <w:p w:rsidR="00790F40" w:rsidRDefault="00790F40">
            <w:pPr>
              <w:pStyle w:val="table10"/>
              <w:spacing w:before="120"/>
            </w:pPr>
            <w:r>
              <w:t>щебень или камень дробленый, используемый в качестве заполнителя бетона, балластного слоя автомобильных и железных дорог и для аналогичных целей</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08.12.22 (за исключением 08.12.22.100, 08.12.22.700, 08.12.22.800)</w:t>
            </w:r>
          </w:p>
        </w:tc>
        <w:tc>
          <w:tcPr>
            <w:tcW w:w="2511" w:type="pct"/>
            <w:tcMar>
              <w:top w:w="0" w:type="dxa"/>
              <w:left w:w="6" w:type="dxa"/>
              <w:bottom w:w="0" w:type="dxa"/>
              <w:right w:w="6" w:type="dxa"/>
            </w:tcMar>
            <w:hideMark/>
          </w:tcPr>
          <w:p w:rsidR="00790F40" w:rsidRDefault="00790F40">
            <w:pPr>
              <w:pStyle w:val="table10"/>
              <w:spacing w:before="120"/>
            </w:pPr>
            <w:r>
              <w:t xml:space="preserve">глины прочие, андалузит, кианит и силлиманит; муллит; земли шамотные или </w:t>
            </w:r>
            <w:proofErr w:type="spellStart"/>
            <w:r>
              <w:t>динасовые</w:t>
            </w:r>
            <w:proofErr w:type="spellEnd"/>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08.99.1</w:t>
            </w:r>
          </w:p>
        </w:tc>
        <w:tc>
          <w:tcPr>
            <w:tcW w:w="2511" w:type="pct"/>
            <w:tcMar>
              <w:top w:w="0" w:type="dxa"/>
              <w:left w:w="6" w:type="dxa"/>
              <w:bottom w:w="0" w:type="dxa"/>
              <w:right w:w="6" w:type="dxa"/>
            </w:tcMar>
            <w:hideMark/>
          </w:tcPr>
          <w:p w:rsidR="00790F40" w:rsidRDefault="00790F40">
            <w:pPr>
              <w:pStyle w:val="table10"/>
              <w:spacing w:before="120"/>
            </w:pPr>
            <w:r>
              <w:t>битум и асфальт природные; битумы твердые и горные породы, содержащие асфальтовый битум</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Раздел 16 (за исключением 16.10.10.100, 16.10.10.700, 16.10.10.710, 16.10.10.770, 16.21.21, 16.21.9, 16.22.9, 16.23.12, 16.23.19.300, 16.23.2, 16.23.9, 16.24, 16.29)</w:t>
            </w:r>
          </w:p>
        </w:tc>
        <w:tc>
          <w:tcPr>
            <w:tcW w:w="2511" w:type="pct"/>
            <w:tcMar>
              <w:top w:w="0" w:type="dxa"/>
              <w:left w:w="6" w:type="dxa"/>
              <w:bottom w:w="0" w:type="dxa"/>
              <w:right w:w="6" w:type="dxa"/>
            </w:tcMar>
            <w:hideMark/>
          </w:tcPr>
          <w:p w:rsidR="00790F40" w:rsidRDefault="00790F40">
            <w:pPr>
              <w:pStyle w:val="table10"/>
              <w:spacing w:before="120"/>
            </w:pPr>
            <w:r>
              <w:t>древесина и изделия из древесины</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20.3 (за исключением 20.30.21, 20.30.22.300, 20.30.22.400, 20.30.22.500, 20.30.22.530, 20.30.24, 20.30.9)</w:t>
            </w:r>
          </w:p>
        </w:tc>
        <w:tc>
          <w:tcPr>
            <w:tcW w:w="2511" w:type="pct"/>
            <w:tcMar>
              <w:top w:w="0" w:type="dxa"/>
              <w:left w:w="6" w:type="dxa"/>
              <w:bottom w:w="0" w:type="dxa"/>
              <w:right w:w="6" w:type="dxa"/>
            </w:tcMar>
            <w:hideMark/>
          </w:tcPr>
          <w:p w:rsidR="00790F40" w:rsidRDefault="00790F40">
            <w:pPr>
              <w:pStyle w:val="table10"/>
              <w:spacing w:before="120"/>
            </w:pPr>
            <w:r>
              <w:t>краски, лаки и аналогичные покрытия, полиграфические краски и мастики</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20.16.40.400–20.16.40.450</w:t>
            </w:r>
          </w:p>
        </w:tc>
        <w:tc>
          <w:tcPr>
            <w:tcW w:w="2511" w:type="pct"/>
            <w:tcMar>
              <w:top w:w="0" w:type="dxa"/>
              <w:left w:w="6" w:type="dxa"/>
              <w:bottom w:w="0" w:type="dxa"/>
              <w:right w:w="6" w:type="dxa"/>
            </w:tcMar>
            <w:hideMark/>
          </w:tcPr>
          <w:p w:rsidR="00790F40" w:rsidRDefault="00790F40">
            <w:pPr>
              <w:pStyle w:val="table10"/>
              <w:spacing w:before="120"/>
            </w:pPr>
            <w:r>
              <w:t>поликарбонаты</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22.21.21 (за исключением 22.21.21.300)</w:t>
            </w:r>
          </w:p>
        </w:tc>
        <w:tc>
          <w:tcPr>
            <w:tcW w:w="2511" w:type="pct"/>
            <w:tcMar>
              <w:top w:w="0" w:type="dxa"/>
              <w:left w:w="6" w:type="dxa"/>
              <w:bottom w:w="0" w:type="dxa"/>
              <w:right w:w="6" w:type="dxa"/>
            </w:tcMar>
            <w:hideMark/>
          </w:tcPr>
          <w:p w:rsidR="00790F40" w:rsidRDefault="00790F40">
            <w:pPr>
              <w:pStyle w:val="table10"/>
              <w:spacing w:before="120"/>
            </w:pPr>
            <w:r>
              <w:t>трубы, трубки, рукава и шланги из пластмасс, жесткие</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22.21.29</w:t>
            </w:r>
          </w:p>
        </w:tc>
        <w:tc>
          <w:tcPr>
            <w:tcW w:w="2511" w:type="pct"/>
            <w:tcMar>
              <w:top w:w="0" w:type="dxa"/>
              <w:left w:w="6" w:type="dxa"/>
              <w:bottom w:w="0" w:type="dxa"/>
              <w:right w:w="6" w:type="dxa"/>
            </w:tcMar>
            <w:hideMark/>
          </w:tcPr>
          <w:p w:rsidR="00790F40" w:rsidRDefault="00790F40">
            <w:pPr>
              <w:pStyle w:val="table10"/>
              <w:spacing w:before="120"/>
            </w:pPr>
            <w:r>
              <w:t>трубы, трубки, шланги и их фитинги из пластмасс прочие (кроме жестких)</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22.21.30.600, 22.21.30.610</w:t>
            </w:r>
          </w:p>
        </w:tc>
        <w:tc>
          <w:tcPr>
            <w:tcW w:w="2511" w:type="pct"/>
            <w:tcMar>
              <w:top w:w="0" w:type="dxa"/>
              <w:left w:w="6" w:type="dxa"/>
              <w:bottom w:w="0" w:type="dxa"/>
              <w:right w:w="6" w:type="dxa"/>
            </w:tcMar>
            <w:hideMark/>
          </w:tcPr>
          <w:p w:rsidR="00790F40" w:rsidRDefault="00790F40">
            <w:pPr>
              <w:pStyle w:val="table10"/>
              <w:spacing w:before="120"/>
            </w:pPr>
            <w:r>
              <w:t xml:space="preserve">плиты, листы, пленка, фольга и полосы из поликарбонатов, алкидных смол, </w:t>
            </w:r>
            <w:proofErr w:type="spellStart"/>
            <w:r>
              <w:t>полиаллильных</w:t>
            </w:r>
            <w:proofErr w:type="spellEnd"/>
            <w:r>
              <w:t xml:space="preserve"> или прочих сложных эфиров неармированные или не комбинированные с другими материалами, неармированные или не комбинированные с другими материалами</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22.21.41</w:t>
            </w:r>
          </w:p>
        </w:tc>
        <w:tc>
          <w:tcPr>
            <w:tcW w:w="2511" w:type="pct"/>
            <w:tcMar>
              <w:top w:w="0" w:type="dxa"/>
              <w:left w:w="6" w:type="dxa"/>
              <w:bottom w:w="0" w:type="dxa"/>
              <w:right w:w="6" w:type="dxa"/>
            </w:tcMar>
            <w:hideMark/>
          </w:tcPr>
          <w:p w:rsidR="00790F40" w:rsidRDefault="00790F40">
            <w:pPr>
              <w:pStyle w:val="table10"/>
              <w:spacing w:before="120"/>
            </w:pPr>
            <w:r>
              <w:t>плиты, листы, пленка, фольга и полосы из пластмасс пористые</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22.21.42</w:t>
            </w:r>
          </w:p>
        </w:tc>
        <w:tc>
          <w:tcPr>
            <w:tcW w:w="2511" w:type="pct"/>
            <w:tcMar>
              <w:top w:w="0" w:type="dxa"/>
              <w:left w:w="6" w:type="dxa"/>
              <w:bottom w:w="0" w:type="dxa"/>
              <w:right w:w="6" w:type="dxa"/>
            </w:tcMar>
            <w:hideMark/>
          </w:tcPr>
          <w:p w:rsidR="00790F40" w:rsidRDefault="00790F40">
            <w:pPr>
              <w:pStyle w:val="table10"/>
              <w:spacing w:before="120"/>
            </w:pPr>
            <w:r>
              <w:t>плиты, листы, пленка, фольга и полосы прочие из пластмасс непористые</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22.23.11</w:t>
            </w:r>
          </w:p>
        </w:tc>
        <w:tc>
          <w:tcPr>
            <w:tcW w:w="2511" w:type="pct"/>
            <w:tcMar>
              <w:top w:w="0" w:type="dxa"/>
              <w:left w:w="6" w:type="dxa"/>
              <w:bottom w:w="0" w:type="dxa"/>
              <w:right w:w="6" w:type="dxa"/>
            </w:tcMar>
            <w:hideMark/>
          </w:tcPr>
          <w:p w:rsidR="00790F40" w:rsidRDefault="00790F40">
            <w:pPr>
              <w:pStyle w:val="table10"/>
              <w:spacing w:before="120"/>
            </w:pPr>
            <w:r>
              <w:t>покрытия для пола, стен и потолка, в рулонах или в форме плиток из пластмасс</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22.23.12.500</w:t>
            </w:r>
          </w:p>
        </w:tc>
        <w:tc>
          <w:tcPr>
            <w:tcW w:w="2511" w:type="pct"/>
            <w:tcMar>
              <w:top w:w="0" w:type="dxa"/>
              <w:left w:w="6" w:type="dxa"/>
              <w:bottom w:w="0" w:type="dxa"/>
              <w:right w:w="6" w:type="dxa"/>
            </w:tcMar>
            <w:hideMark/>
          </w:tcPr>
          <w:p w:rsidR="00790F40" w:rsidRDefault="00790F40">
            <w:pPr>
              <w:pStyle w:val="table10"/>
              <w:spacing w:before="120"/>
            </w:pPr>
            <w:r>
              <w:t>ванны, раковины и души из пластмасс</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22.23.14</w:t>
            </w:r>
          </w:p>
        </w:tc>
        <w:tc>
          <w:tcPr>
            <w:tcW w:w="2511" w:type="pct"/>
            <w:tcMar>
              <w:top w:w="0" w:type="dxa"/>
              <w:left w:w="6" w:type="dxa"/>
              <w:bottom w:w="0" w:type="dxa"/>
              <w:right w:w="6" w:type="dxa"/>
            </w:tcMar>
            <w:hideMark/>
          </w:tcPr>
          <w:p w:rsidR="00790F40" w:rsidRDefault="00790F40">
            <w:pPr>
              <w:pStyle w:val="table10"/>
              <w:spacing w:before="120"/>
            </w:pPr>
            <w:r>
              <w:t>двери, окна, рамы, пороги для дверей, ставни, жалюзи, аналогичные изделия и их части из пластмасс</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22.23.15</w:t>
            </w:r>
          </w:p>
        </w:tc>
        <w:tc>
          <w:tcPr>
            <w:tcW w:w="2511" w:type="pct"/>
            <w:tcMar>
              <w:top w:w="0" w:type="dxa"/>
              <w:left w:w="6" w:type="dxa"/>
              <w:bottom w:w="0" w:type="dxa"/>
              <w:right w:w="6" w:type="dxa"/>
            </w:tcMar>
            <w:hideMark/>
          </w:tcPr>
          <w:p w:rsidR="00790F40" w:rsidRDefault="00790F40">
            <w:pPr>
              <w:pStyle w:val="table10"/>
              <w:spacing w:before="120"/>
            </w:pPr>
            <w:r>
              <w:t>линолеум и покрытия напольные непластмассовые твердые (эластичные напольные покрытия, такие как винил, линолеум и т.д.)</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22.23.19</w:t>
            </w:r>
          </w:p>
        </w:tc>
        <w:tc>
          <w:tcPr>
            <w:tcW w:w="2511" w:type="pct"/>
            <w:tcMar>
              <w:top w:w="0" w:type="dxa"/>
              <w:left w:w="6" w:type="dxa"/>
              <w:bottom w:w="0" w:type="dxa"/>
              <w:right w:w="6" w:type="dxa"/>
            </w:tcMar>
            <w:hideMark/>
          </w:tcPr>
          <w:p w:rsidR="00790F40" w:rsidRDefault="00790F40">
            <w:pPr>
              <w:pStyle w:val="table10"/>
              <w:spacing w:before="120"/>
            </w:pPr>
            <w:r>
              <w:t>изделия строительные из пластмасс, не включенные в другие группировки</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23.11 (за исключением 23.11.9)</w:t>
            </w:r>
          </w:p>
        </w:tc>
        <w:tc>
          <w:tcPr>
            <w:tcW w:w="2511" w:type="pct"/>
            <w:tcMar>
              <w:top w:w="0" w:type="dxa"/>
              <w:left w:w="6" w:type="dxa"/>
              <w:bottom w:w="0" w:type="dxa"/>
              <w:right w:w="6" w:type="dxa"/>
            </w:tcMar>
            <w:hideMark/>
          </w:tcPr>
          <w:p w:rsidR="00790F40" w:rsidRDefault="00790F40">
            <w:pPr>
              <w:pStyle w:val="table10"/>
              <w:spacing w:before="120"/>
            </w:pPr>
            <w:r>
              <w:t>стекло листовое</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23.12.13.300</w:t>
            </w:r>
          </w:p>
        </w:tc>
        <w:tc>
          <w:tcPr>
            <w:tcW w:w="2511" w:type="pct"/>
            <w:tcMar>
              <w:top w:w="0" w:type="dxa"/>
              <w:left w:w="6" w:type="dxa"/>
              <w:bottom w:w="0" w:type="dxa"/>
              <w:right w:w="6" w:type="dxa"/>
            </w:tcMar>
            <w:hideMark/>
          </w:tcPr>
          <w:p w:rsidR="00790F40" w:rsidRDefault="00790F40">
            <w:pPr>
              <w:pStyle w:val="table10"/>
              <w:spacing w:before="120"/>
            </w:pPr>
            <w:r>
              <w:t>изделия из стекла многослойные изолирующие, включая стеклопакеты</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23.14.12</w:t>
            </w:r>
          </w:p>
        </w:tc>
        <w:tc>
          <w:tcPr>
            <w:tcW w:w="2511" w:type="pct"/>
            <w:tcMar>
              <w:top w:w="0" w:type="dxa"/>
              <w:left w:w="6" w:type="dxa"/>
              <w:bottom w:w="0" w:type="dxa"/>
              <w:right w:w="6" w:type="dxa"/>
            </w:tcMar>
            <w:hideMark/>
          </w:tcPr>
          <w:p w:rsidR="00790F40" w:rsidRDefault="00790F40">
            <w:pPr>
              <w:pStyle w:val="table10"/>
              <w:spacing w:before="120"/>
            </w:pPr>
            <w:r>
              <w:t>вуали, сети, рогожи, матрасы, картон и прочие изделия из стекловолокна (кроме стеклотканей)</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23.32.1 (за исключением 23.32.12.900)</w:t>
            </w:r>
          </w:p>
        </w:tc>
        <w:tc>
          <w:tcPr>
            <w:tcW w:w="2511" w:type="pct"/>
            <w:tcMar>
              <w:top w:w="0" w:type="dxa"/>
              <w:left w:w="6" w:type="dxa"/>
              <w:bottom w:w="0" w:type="dxa"/>
              <w:right w:w="6" w:type="dxa"/>
            </w:tcMar>
            <w:hideMark/>
          </w:tcPr>
          <w:p w:rsidR="00790F40" w:rsidRDefault="00790F40">
            <w:pPr>
              <w:pStyle w:val="table10"/>
              <w:spacing w:before="120"/>
            </w:pPr>
            <w:r>
              <w:t>кирпичи, плитки и строительные изделия из обожженной глины</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23.42.10</w:t>
            </w:r>
          </w:p>
        </w:tc>
        <w:tc>
          <w:tcPr>
            <w:tcW w:w="2511" w:type="pct"/>
            <w:tcMar>
              <w:top w:w="0" w:type="dxa"/>
              <w:left w:w="6" w:type="dxa"/>
              <w:bottom w:w="0" w:type="dxa"/>
              <w:right w:w="6" w:type="dxa"/>
            </w:tcMar>
            <w:hideMark/>
          </w:tcPr>
          <w:p w:rsidR="00790F40" w:rsidRDefault="00790F40">
            <w:pPr>
              <w:pStyle w:val="table10"/>
              <w:spacing w:before="120"/>
            </w:pPr>
            <w:r>
              <w:t>изделия керамические санитарно-технические</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23.5 (за исключением 23.51.9, 23.52.99)</w:t>
            </w:r>
          </w:p>
        </w:tc>
        <w:tc>
          <w:tcPr>
            <w:tcW w:w="2511" w:type="pct"/>
            <w:tcMar>
              <w:top w:w="0" w:type="dxa"/>
              <w:left w:w="6" w:type="dxa"/>
              <w:bottom w:w="0" w:type="dxa"/>
              <w:right w:w="6" w:type="dxa"/>
            </w:tcMar>
            <w:hideMark/>
          </w:tcPr>
          <w:p w:rsidR="00790F40" w:rsidRDefault="00790F40">
            <w:pPr>
              <w:pStyle w:val="table10"/>
              <w:spacing w:before="120"/>
            </w:pPr>
            <w:r>
              <w:t>цемент, известь и гипс</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23.61.1</w:t>
            </w:r>
          </w:p>
        </w:tc>
        <w:tc>
          <w:tcPr>
            <w:tcW w:w="2511" w:type="pct"/>
            <w:tcMar>
              <w:top w:w="0" w:type="dxa"/>
              <w:left w:w="6" w:type="dxa"/>
              <w:bottom w:w="0" w:type="dxa"/>
              <w:right w:w="6" w:type="dxa"/>
            </w:tcMar>
            <w:hideMark/>
          </w:tcPr>
          <w:p w:rsidR="00790F40" w:rsidRDefault="00790F40">
            <w:pPr>
              <w:pStyle w:val="table10"/>
              <w:spacing w:before="120"/>
            </w:pPr>
            <w:r>
              <w:t>изделия из бетона для строительных целей</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lastRenderedPageBreak/>
              <w:t>23.62.1</w:t>
            </w:r>
          </w:p>
        </w:tc>
        <w:tc>
          <w:tcPr>
            <w:tcW w:w="2511" w:type="pct"/>
            <w:tcMar>
              <w:top w:w="0" w:type="dxa"/>
              <w:left w:w="6" w:type="dxa"/>
              <w:bottom w:w="0" w:type="dxa"/>
              <w:right w:w="6" w:type="dxa"/>
            </w:tcMar>
            <w:hideMark/>
          </w:tcPr>
          <w:p w:rsidR="00790F40" w:rsidRDefault="00790F40">
            <w:pPr>
              <w:pStyle w:val="table10"/>
              <w:spacing w:before="120"/>
            </w:pPr>
            <w:r>
              <w:t>изделия из гипса для строительных целей</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23.63.1</w:t>
            </w:r>
          </w:p>
        </w:tc>
        <w:tc>
          <w:tcPr>
            <w:tcW w:w="2511" w:type="pct"/>
            <w:tcMar>
              <w:top w:w="0" w:type="dxa"/>
              <w:left w:w="6" w:type="dxa"/>
              <w:bottom w:w="0" w:type="dxa"/>
              <w:right w:w="6" w:type="dxa"/>
            </w:tcMar>
            <w:hideMark/>
          </w:tcPr>
          <w:p w:rsidR="00790F40" w:rsidRDefault="00790F40">
            <w:pPr>
              <w:pStyle w:val="table10"/>
              <w:spacing w:before="120"/>
            </w:pPr>
            <w:r>
              <w:t>бетон товарный</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23.64.1</w:t>
            </w:r>
          </w:p>
        </w:tc>
        <w:tc>
          <w:tcPr>
            <w:tcW w:w="2511" w:type="pct"/>
            <w:tcMar>
              <w:top w:w="0" w:type="dxa"/>
              <w:left w:w="6" w:type="dxa"/>
              <w:bottom w:w="0" w:type="dxa"/>
              <w:right w:w="6" w:type="dxa"/>
            </w:tcMar>
            <w:hideMark/>
          </w:tcPr>
          <w:p w:rsidR="00790F40" w:rsidRDefault="00790F40">
            <w:pPr>
              <w:pStyle w:val="table10"/>
              <w:spacing w:before="120"/>
            </w:pPr>
            <w:r>
              <w:t>растворы и смеси строительные</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23.65.1 (за исключением 23.65.11.900)</w:t>
            </w:r>
          </w:p>
        </w:tc>
        <w:tc>
          <w:tcPr>
            <w:tcW w:w="2511" w:type="pct"/>
            <w:tcMar>
              <w:top w:w="0" w:type="dxa"/>
              <w:left w:w="6" w:type="dxa"/>
              <w:bottom w:w="0" w:type="dxa"/>
              <w:right w:w="6" w:type="dxa"/>
            </w:tcMar>
            <w:hideMark/>
          </w:tcPr>
          <w:p w:rsidR="00790F40" w:rsidRDefault="00790F40">
            <w:pPr>
              <w:pStyle w:val="table10"/>
              <w:spacing w:before="120"/>
            </w:pPr>
            <w:r>
              <w:t>изделия из асбестоцемента, цемента с волокнами целлюлозы или аналогичных материалов</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23.99.12</w:t>
            </w:r>
          </w:p>
        </w:tc>
        <w:tc>
          <w:tcPr>
            <w:tcW w:w="2511" w:type="pct"/>
            <w:tcMar>
              <w:top w:w="0" w:type="dxa"/>
              <w:left w:w="6" w:type="dxa"/>
              <w:bottom w:w="0" w:type="dxa"/>
              <w:right w:w="6" w:type="dxa"/>
            </w:tcMar>
            <w:hideMark/>
          </w:tcPr>
          <w:p w:rsidR="00790F40" w:rsidRDefault="00790F40">
            <w:pPr>
              <w:pStyle w:val="table10"/>
              <w:spacing w:before="120"/>
            </w:pPr>
            <w:r>
              <w:t>изделия из асфальта или аналогичных материалов</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23.99.13</w:t>
            </w:r>
          </w:p>
        </w:tc>
        <w:tc>
          <w:tcPr>
            <w:tcW w:w="2511" w:type="pct"/>
            <w:tcMar>
              <w:top w:w="0" w:type="dxa"/>
              <w:left w:w="6" w:type="dxa"/>
              <w:bottom w:w="0" w:type="dxa"/>
              <w:right w:w="6" w:type="dxa"/>
            </w:tcMar>
            <w:hideMark/>
          </w:tcPr>
          <w:p w:rsidR="00790F40" w:rsidRDefault="00790F40">
            <w:pPr>
              <w:pStyle w:val="table10"/>
              <w:spacing w:before="120"/>
            </w:pPr>
            <w:r>
              <w:t>смеси битумные на основе природного асфальта или битума, нефтяного битума, минеральной смолы или асфальтового пека</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23.99.19.100</w:t>
            </w:r>
          </w:p>
        </w:tc>
        <w:tc>
          <w:tcPr>
            <w:tcW w:w="2511" w:type="pct"/>
            <w:tcMar>
              <w:top w:w="0" w:type="dxa"/>
              <w:left w:w="6" w:type="dxa"/>
              <w:bottom w:w="0" w:type="dxa"/>
              <w:right w:w="6" w:type="dxa"/>
            </w:tcMar>
            <w:hideMark/>
          </w:tcPr>
          <w:p w:rsidR="00790F40" w:rsidRDefault="00790F40">
            <w:pPr>
              <w:pStyle w:val="table10"/>
              <w:spacing w:before="120"/>
            </w:pPr>
            <w:r>
              <w:t>шлаковата, минеральная силикатная вата и аналогичные минеральные ваты (включая их смеси) в блоках, листах или рулонах</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23.99.19.200</w:t>
            </w:r>
          </w:p>
        </w:tc>
        <w:tc>
          <w:tcPr>
            <w:tcW w:w="2511" w:type="pct"/>
            <w:tcMar>
              <w:top w:w="0" w:type="dxa"/>
              <w:left w:w="6" w:type="dxa"/>
              <w:bottom w:w="0" w:type="dxa"/>
              <w:right w:w="6" w:type="dxa"/>
            </w:tcMar>
            <w:hideMark/>
          </w:tcPr>
          <w:p w:rsidR="00790F40" w:rsidRDefault="00790F40">
            <w:pPr>
              <w:pStyle w:val="table10"/>
              <w:spacing w:before="120"/>
            </w:pPr>
            <w:r>
              <w:t>вермикулит расслоенный, глины вспученные, шлак вспененный и прочие вспученные минеральные продукты, включая их смеси</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23.99.19.300</w:t>
            </w:r>
          </w:p>
        </w:tc>
        <w:tc>
          <w:tcPr>
            <w:tcW w:w="2511" w:type="pct"/>
            <w:tcMar>
              <w:top w:w="0" w:type="dxa"/>
              <w:left w:w="6" w:type="dxa"/>
              <w:bottom w:w="0" w:type="dxa"/>
              <w:right w:w="6" w:type="dxa"/>
            </w:tcMar>
            <w:hideMark/>
          </w:tcPr>
          <w:p w:rsidR="00790F40" w:rsidRDefault="00790F40">
            <w:pPr>
              <w:pStyle w:val="table10"/>
              <w:spacing w:before="120"/>
            </w:pPr>
            <w:r>
              <w:t>смеси и изделия из тепло- и звукоизоляционных или звукопоглощающих минеральных материалов, не включенные в другие группировки</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24.10.3–24.10.7</w:t>
            </w:r>
          </w:p>
        </w:tc>
        <w:tc>
          <w:tcPr>
            <w:tcW w:w="2511" w:type="pct"/>
            <w:tcMar>
              <w:top w:w="0" w:type="dxa"/>
              <w:left w:w="6" w:type="dxa"/>
              <w:bottom w:w="0" w:type="dxa"/>
              <w:right w:w="6" w:type="dxa"/>
            </w:tcMar>
            <w:hideMark/>
          </w:tcPr>
          <w:p w:rsidR="00790F40" w:rsidRDefault="00790F40">
            <w:pPr>
              <w:pStyle w:val="table10"/>
              <w:spacing w:before="120"/>
            </w:pPr>
            <w:r>
              <w:t>металлы основные черные</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24.2 (за исключением 24.20.9)</w:t>
            </w:r>
          </w:p>
        </w:tc>
        <w:tc>
          <w:tcPr>
            <w:tcW w:w="2511" w:type="pct"/>
            <w:tcMar>
              <w:top w:w="0" w:type="dxa"/>
              <w:left w:w="6" w:type="dxa"/>
              <w:bottom w:w="0" w:type="dxa"/>
              <w:right w:w="6" w:type="dxa"/>
            </w:tcMar>
            <w:hideMark/>
          </w:tcPr>
          <w:p w:rsidR="00790F40" w:rsidRDefault="00790F40">
            <w:pPr>
              <w:pStyle w:val="table10"/>
              <w:spacing w:before="120"/>
            </w:pPr>
            <w:r>
              <w:t>трубы, трубки и </w:t>
            </w:r>
            <w:proofErr w:type="gramStart"/>
            <w:r>
              <w:t>профили полые</w:t>
            </w:r>
            <w:proofErr w:type="gramEnd"/>
            <w:r>
              <w:t xml:space="preserve"> и фитинги к ним из стали</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24.3 (за исключением 24.31.9, 24.32.9, 24.33.9, 24.34.9)</w:t>
            </w:r>
          </w:p>
        </w:tc>
        <w:tc>
          <w:tcPr>
            <w:tcW w:w="2511" w:type="pct"/>
            <w:tcMar>
              <w:top w:w="0" w:type="dxa"/>
              <w:left w:w="6" w:type="dxa"/>
              <w:bottom w:w="0" w:type="dxa"/>
              <w:right w:w="6" w:type="dxa"/>
            </w:tcMar>
            <w:hideMark/>
          </w:tcPr>
          <w:p w:rsidR="00790F40" w:rsidRDefault="00790F40">
            <w:pPr>
              <w:pStyle w:val="table10"/>
              <w:spacing w:before="120"/>
            </w:pPr>
            <w:r>
              <w:t>полуфабрикаты стальные прочие</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24.42 (за исключением 24.42.9, 24.42.11, 24.42.12, 24.42.21, 24.42.25)</w:t>
            </w:r>
          </w:p>
        </w:tc>
        <w:tc>
          <w:tcPr>
            <w:tcW w:w="2511" w:type="pct"/>
            <w:tcMar>
              <w:top w:w="0" w:type="dxa"/>
              <w:left w:w="6" w:type="dxa"/>
              <w:bottom w:w="0" w:type="dxa"/>
              <w:right w:w="6" w:type="dxa"/>
            </w:tcMar>
            <w:hideMark/>
          </w:tcPr>
          <w:p w:rsidR="00790F40" w:rsidRDefault="00790F40">
            <w:pPr>
              <w:pStyle w:val="table10"/>
              <w:spacing w:before="120"/>
            </w:pPr>
            <w:r>
              <w:t>алюминий</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24.51.2</w:t>
            </w:r>
          </w:p>
        </w:tc>
        <w:tc>
          <w:tcPr>
            <w:tcW w:w="2511" w:type="pct"/>
            <w:tcMar>
              <w:top w:w="0" w:type="dxa"/>
              <w:left w:w="6" w:type="dxa"/>
              <w:bottom w:w="0" w:type="dxa"/>
              <w:right w:w="6" w:type="dxa"/>
            </w:tcMar>
            <w:hideMark/>
          </w:tcPr>
          <w:p w:rsidR="00790F40" w:rsidRDefault="00790F40">
            <w:pPr>
              <w:pStyle w:val="table10"/>
              <w:spacing w:before="120"/>
            </w:pPr>
            <w:r>
              <w:t>трубы, трубки и полые профили, литые из чугуна</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24.51.3</w:t>
            </w:r>
          </w:p>
        </w:tc>
        <w:tc>
          <w:tcPr>
            <w:tcW w:w="2511" w:type="pct"/>
            <w:tcMar>
              <w:top w:w="0" w:type="dxa"/>
              <w:left w:w="6" w:type="dxa"/>
              <w:bottom w:w="0" w:type="dxa"/>
              <w:right w:w="6" w:type="dxa"/>
            </w:tcMar>
            <w:hideMark/>
          </w:tcPr>
          <w:p w:rsidR="00790F40" w:rsidRDefault="00790F40">
            <w:pPr>
              <w:pStyle w:val="table10"/>
              <w:spacing w:before="120"/>
            </w:pPr>
            <w:r>
              <w:t>фитинги для труб или трубок, литые из чугуна</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25.1 (за исключением 25.11.9, 25.12.9)</w:t>
            </w:r>
          </w:p>
        </w:tc>
        <w:tc>
          <w:tcPr>
            <w:tcW w:w="2511" w:type="pct"/>
            <w:tcMar>
              <w:top w:w="0" w:type="dxa"/>
              <w:left w:w="6" w:type="dxa"/>
              <w:bottom w:w="0" w:type="dxa"/>
              <w:right w:w="6" w:type="dxa"/>
            </w:tcMar>
            <w:hideMark/>
          </w:tcPr>
          <w:p w:rsidR="00790F40" w:rsidRDefault="00790F40">
            <w:pPr>
              <w:pStyle w:val="table10"/>
              <w:spacing w:before="120"/>
            </w:pPr>
            <w:r>
              <w:t>металлоконструкции</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25.99.11</w:t>
            </w:r>
          </w:p>
        </w:tc>
        <w:tc>
          <w:tcPr>
            <w:tcW w:w="2511" w:type="pct"/>
            <w:tcMar>
              <w:top w:w="0" w:type="dxa"/>
              <w:left w:w="6" w:type="dxa"/>
              <w:bottom w:w="0" w:type="dxa"/>
              <w:right w:w="6" w:type="dxa"/>
            </w:tcMar>
            <w:hideMark/>
          </w:tcPr>
          <w:p w:rsidR="00790F40" w:rsidRDefault="00790F40">
            <w:pPr>
              <w:pStyle w:val="table10"/>
              <w:spacing w:before="120"/>
            </w:pPr>
            <w:r>
              <w:t>раковины, мойки, ванны и </w:t>
            </w:r>
            <w:proofErr w:type="gramStart"/>
            <w:r>
              <w:t>прочие санитарно-технические изделия</w:t>
            </w:r>
            <w:proofErr w:type="gramEnd"/>
            <w:r>
              <w:t xml:space="preserve"> и их части из черных металлов, меди или алюминия</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25.99.12.100–25.99.12.300</w:t>
            </w:r>
          </w:p>
        </w:tc>
        <w:tc>
          <w:tcPr>
            <w:tcW w:w="2511" w:type="pct"/>
            <w:tcMar>
              <w:top w:w="0" w:type="dxa"/>
              <w:left w:w="6" w:type="dxa"/>
              <w:bottom w:w="0" w:type="dxa"/>
              <w:right w:w="6" w:type="dxa"/>
            </w:tcMar>
            <w:hideMark/>
          </w:tcPr>
          <w:p w:rsidR="00790F40" w:rsidRDefault="00790F40">
            <w:pPr>
              <w:pStyle w:val="table10"/>
              <w:spacing w:before="120"/>
            </w:pPr>
            <w:r>
              <w:t>мойка кухонная</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25.99.29.130</w:t>
            </w:r>
          </w:p>
        </w:tc>
        <w:tc>
          <w:tcPr>
            <w:tcW w:w="2511" w:type="pct"/>
            <w:tcMar>
              <w:top w:w="0" w:type="dxa"/>
              <w:left w:w="6" w:type="dxa"/>
              <w:bottom w:w="0" w:type="dxa"/>
              <w:right w:w="6" w:type="dxa"/>
            </w:tcMar>
            <w:hideMark/>
          </w:tcPr>
          <w:p w:rsidR="00790F40" w:rsidRDefault="00790F40">
            <w:pPr>
              <w:pStyle w:val="table10"/>
              <w:spacing w:before="120"/>
            </w:pPr>
            <w:r>
              <w:t>изделия для канализационных, водопроводных и аналогичных систем (трапы, решетки, люки и т.п.) из нековкого чугуна</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26.51.63</w:t>
            </w:r>
          </w:p>
        </w:tc>
        <w:tc>
          <w:tcPr>
            <w:tcW w:w="2511" w:type="pct"/>
            <w:tcMar>
              <w:top w:w="0" w:type="dxa"/>
              <w:left w:w="6" w:type="dxa"/>
              <w:bottom w:w="0" w:type="dxa"/>
              <w:right w:w="6" w:type="dxa"/>
            </w:tcMar>
            <w:hideMark/>
          </w:tcPr>
          <w:p w:rsidR="00790F40" w:rsidRDefault="00790F40">
            <w:pPr>
              <w:pStyle w:val="table10"/>
              <w:spacing w:before="120"/>
            </w:pPr>
            <w:r>
              <w:t>счетчики производства или потребления газа, жидкости или электроэнергии</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27.31.11</w:t>
            </w:r>
          </w:p>
        </w:tc>
        <w:tc>
          <w:tcPr>
            <w:tcW w:w="2511" w:type="pct"/>
            <w:tcMar>
              <w:top w:w="0" w:type="dxa"/>
              <w:left w:w="6" w:type="dxa"/>
              <w:bottom w:w="0" w:type="dxa"/>
              <w:right w:w="6" w:type="dxa"/>
            </w:tcMar>
            <w:hideMark/>
          </w:tcPr>
          <w:p w:rsidR="00790F40" w:rsidRDefault="00790F40">
            <w:pPr>
              <w:pStyle w:val="table10"/>
              <w:spacing w:before="120"/>
            </w:pPr>
            <w:r>
              <w:t>кабели оптические, содержащие волокна с оболочками, в сборе или нет с токопроводящими жилами</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27.31.12</w:t>
            </w:r>
          </w:p>
        </w:tc>
        <w:tc>
          <w:tcPr>
            <w:tcW w:w="2511" w:type="pct"/>
            <w:tcMar>
              <w:top w:w="0" w:type="dxa"/>
              <w:left w:w="6" w:type="dxa"/>
              <w:bottom w:w="0" w:type="dxa"/>
              <w:right w:w="6" w:type="dxa"/>
            </w:tcMar>
            <w:hideMark/>
          </w:tcPr>
          <w:p w:rsidR="00790F40" w:rsidRDefault="00790F40">
            <w:pPr>
              <w:pStyle w:val="table10"/>
              <w:spacing w:before="120"/>
            </w:pPr>
            <w:r>
              <w:t>кабели оптические с пучками оптических волокон (кроме кабелей оптических, содержащих волокна с оболочками)</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27.32.12</w:t>
            </w:r>
          </w:p>
        </w:tc>
        <w:tc>
          <w:tcPr>
            <w:tcW w:w="2511" w:type="pct"/>
            <w:tcMar>
              <w:top w:w="0" w:type="dxa"/>
              <w:left w:w="6" w:type="dxa"/>
              <w:bottom w:w="0" w:type="dxa"/>
              <w:right w:w="6" w:type="dxa"/>
            </w:tcMar>
            <w:hideMark/>
          </w:tcPr>
          <w:p w:rsidR="00790F40" w:rsidRDefault="00790F40">
            <w:pPr>
              <w:pStyle w:val="table10"/>
              <w:spacing w:before="120"/>
            </w:pPr>
            <w:r>
              <w:t>кабели коаксиальные и прочие коаксиальные проводники электрического тока</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27.32.13 (за исключением 27.32.13.400–27.32.13.620)</w:t>
            </w:r>
          </w:p>
        </w:tc>
        <w:tc>
          <w:tcPr>
            <w:tcW w:w="2511" w:type="pct"/>
            <w:tcMar>
              <w:top w:w="0" w:type="dxa"/>
              <w:left w:w="6" w:type="dxa"/>
              <w:bottom w:w="0" w:type="dxa"/>
              <w:right w:w="6" w:type="dxa"/>
            </w:tcMar>
            <w:hideMark/>
          </w:tcPr>
          <w:p w:rsidR="00790F40" w:rsidRDefault="00790F40">
            <w:pPr>
              <w:pStyle w:val="table10"/>
              <w:spacing w:before="120"/>
            </w:pPr>
            <w:r>
              <w:t>проводники электрического тока прочие с номинальным напряжением не более 1000 В</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27.32.14</w:t>
            </w:r>
          </w:p>
        </w:tc>
        <w:tc>
          <w:tcPr>
            <w:tcW w:w="2511" w:type="pct"/>
            <w:tcMar>
              <w:top w:w="0" w:type="dxa"/>
              <w:left w:w="6" w:type="dxa"/>
              <w:bottom w:w="0" w:type="dxa"/>
              <w:right w:w="6" w:type="dxa"/>
            </w:tcMar>
            <w:hideMark/>
          </w:tcPr>
          <w:p w:rsidR="00790F40" w:rsidRDefault="00790F40">
            <w:pPr>
              <w:pStyle w:val="table10"/>
              <w:spacing w:before="120"/>
            </w:pPr>
            <w:r>
              <w:t>проводники электрические прочие с номинальным напряжением более 1000 В </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lastRenderedPageBreak/>
              <w:t>27.33.11</w:t>
            </w:r>
          </w:p>
        </w:tc>
        <w:tc>
          <w:tcPr>
            <w:tcW w:w="2511" w:type="pct"/>
            <w:tcMar>
              <w:top w:w="0" w:type="dxa"/>
              <w:left w:w="6" w:type="dxa"/>
              <w:bottom w:w="0" w:type="dxa"/>
              <w:right w:w="6" w:type="dxa"/>
            </w:tcMar>
            <w:hideMark/>
          </w:tcPr>
          <w:p w:rsidR="00790F40" w:rsidRDefault="00790F40">
            <w:pPr>
              <w:pStyle w:val="table10"/>
              <w:spacing w:before="120"/>
            </w:pPr>
            <w:r>
              <w:t>выключатели с номинальным напряжением не более 1000 В, включая клавишные и поворотные (кроме реле)</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27.33.12</w:t>
            </w:r>
          </w:p>
        </w:tc>
        <w:tc>
          <w:tcPr>
            <w:tcW w:w="2511" w:type="pct"/>
            <w:tcMar>
              <w:top w:w="0" w:type="dxa"/>
              <w:left w:w="6" w:type="dxa"/>
              <w:bottom w:w="0" w:type="dxa"/>
              <w:right w:w="6" w:type="dxa"/>
            </w:tcMar>
            <w:hideMark/>
          </w:tcPr>
          <w:p w:rsidR="00790F40" w:rsidRDefault="00790F40">
            <w:pPr>
              <w:pStyle w:val="table10"/>
              <w:spacing w:before="120"/>
            </w:pPr>
            <w:r>
              <w:t>патроны для ламп с номинальным напряжением не более 1000 В</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27.40.12</w:t>
            </w:r>
          </w:p>
        </w:tc>
        <w:tc>
          <w:tcPr>
            <w:tcW w:w="2511" w:type="pct"/>
            <w:tcMar>
              <w:top w:w="0" w:type="dxa"/>
              <w:left w:w="6" w:type="dxa"/>
              <w:bottom w:w="0" w:type="dxa"/>
              <w:right w:w="6" w:type="dxa"/>
            </w:tcMar>
            <w:hideMark/>
          </w:tcPr>
          <w:p w:rsidR="00790F40" w:rsidRDefault="00790F40">
            <w:pPr>
              <w:pStyle w:val="table10"/>
              <w:spacing w:before="120"/>
            </w:pPr>
            <w:r>
              <w:t>лампы накаливания галогенные с вольфрамовой нитью (кроме ультрафиолетовых или инфракрасных ламп)</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27.40.13</w:t>
            </w:r>
          </w:p>
        </w:tc>
        <w:tc>
          <w:tcPr>
            <w:tcW w:w="2511" w:type="pct"/>
            <w:tcMar>
              <w:top w:w="0" w:type="dxa"/>
              <w:left w:w="6" w:type="dxa"/>
              <w:bottom w:w="0" w:type="dxa"/>
              <w:right w:w="6" w:type="dxa"/>
            </w:tcMar>
            <w:hideMark/>
          </w:tcPr>
          <w:p w:rsidR="00790F40" w:rsidRDefault="00790F40">
            <w:pPr>
              <w:pStyle w:val="table10"/>
              <w:spacing w:before="120"/>
            </w:pPr>
            <w:r>
              <w:t>лампы накаливания прочие мощностью не более 200 Вт и с номинальным напряжением более 100 В </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27.40.14</w:t>
            </w:r>
          </w:p>
        </w:tc>
        <w:tc>
          <w:tcPr>
            <w:tcW w:w="2511" w:type="pct"/>
            <w:tcMar>
              <w:top w:w="0" w:type="dxa"/>
              <w:left w:w="6" w:type="dxa"/>
              <w:bottom w:w="0" w:type="dxa"/>
              <w:right w:w="6" w:type="dxa"/>
            </w:tcMar>
            <w:hideMark/>
          </w:tcPr>
          <w:p w:rsidR="00790F40" w:rsidRDefault="00790F40">
            <w:pPr>
              <w:pStyle w:val="table10"/>
              <w:spacing w:before="120"/>
            </w:pPr>
            <w:r>
              <w:t>лампы накаливания, не включенные в другие группировки</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27.40.15</w:t>
            </w:r>
          </w:p>
        </w:tc>
        <w:tc>
          <w:tcPr>
            <w:tcW w:w="2511" w:type="pct"/>
            <w:tcMar>
              <w:top w:w="0" w:type="dxa"/>
              <w:left w:w="6" w:type="dxa"/>
              <w:bottom w:w="0" w:type="dxa"/>
              <w:right w:w="6" w:type="dxa"/>
            </w:tcMar>
            <w:hideMark/>
          </w:tcPr>
          <w:p w:rsidR="00790F40" w:rsidRDefault="00790F40">
            <w:pPr>
              <w:pStyle w:val="table10"/>
              <w:spacing w:before="120"/>
            </w:pPr>
            <w:r>
              <w:t>лампы газоразрядные; лампы ультрафиолетовые, инфракрасные; лампы дуговые, лампы светодиодные</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27.40.24</w:t>
            </w:r>
          </w:p>
        </w:tc>
        <w:tc>
          <w:tcPr>
            <w:tcW w:w="2511" w:type="pct"/>
            <w:tcMar>
              <w:top w:w="0" w:type="dxa"/>
              <w:left w:w="6" w:type="dxa"/>
              <w:bottom w:w="0" w:type="dxa"/>
              <w:right w:w="6" w:type="dxa"/>
            </w:tcMar>
            <w:hideMark/>
          </w:tcPr>
          <w:p w:rsidR="00790F40" w:rsidRDefault="00790F40">
            <w:pPr>
              <w:pStyle w:val="table10"/>
              <w:spacing w:before="120"/>
            </w:pPr>
            <w:r>
              <w:t>указатели светящиеся, табло световые и устройства аналогичные, включая знаки дорожные</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27.40.25</w:t>
            </w:r>
          </w:p>
        </w:tc>
        <w:tc>
          <w:tcPr>
            <w:tcW w:w="2511" w:type="pct"/>
            <w:tcMar>
              <w:top w:w="0" w:type="dxa"/>
              <w:left w:w="6" w:type="dxa"/>
              <w:bottom w:w="0" w:type="dxa"/>
              <w:right w:w="6" w:type="dxa"/>
            </w:tcMar>
            <w:hideMark/>
          </w:tcPr>
          <w:p w:rsidR="00790F40" w:rsidRDefault="00790F40">
            <w:pPr>
              <w:pStyle w:val="table10"/>
              <w:spacing w:before="120"/>
            </w:pPr>
            <w:r>
              <w:t>люстры и прочие электрические подвесные или настенные осветительные устройства (кроме используемых для освещения открытых общественных мест или транспортных магистралей)</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27.51.28.100</w:t>
            </w:r>
          </w:p>
        </w:tc>
        <w:tc>
          <w:tcPr>
            <w:tcW w:w="2511" w:type="pct"/>
            <w:tcMar>
              <w:top w:w="0" w:type="dxa"/>
              <w:left w:w="6" w:type="dxa"/>
              <w:bottom w:w="0" w:type="dxa"/>
              <w:right w:w="6" w:type="dxa"/>
            </w:tcMar>
            <w:hideMark/>
          </w:tcPr>
          <w:p w:rsidR="00790F40" w:rsidRDefault="00790F40">
            <w:pPr>
              <w:pStyle w:val="table10"/>
              <w:spacing w:before="120"/>
            </w:pPr>
            <w:r>
              <w:t>электроплиты (имеющие по крайней мере духовой шкаф и панель с электронагревательными элементами), включая комбинированные газоэлектрические приборы</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27.52.11</w:t>
            </w:r>
          </w:p>
        </w:tc>
        <w:tc>
          <w:tcPr>
            <w:tcW w:w="2511" w:type="pct"/>
            <w:tcMar>
              <w:top w:w="0" w:type="dxa"/>
              <w:left w:w="6" w:type="dxa"/>
              <w:bottom w:w="0" w:type="dxa"/>
              <w:right w:w="6" w:type="dxa"/>
            </w:tcMar>
            <w:hideMark/>
          </w:tcPr>
          <w:p w:rsidR="00790F40" w:rsidRDefault="00790F40">
            <w:pPr>
              <w:pStyle w:val="table10"/>
              <w:spacing w:before="120"/>
            </w:pPr>
            <w:r>
              <w:t>приборы для приготовления и подогрева пищи из черных металлов или меди бытовые неэлектрические</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28.14.12</w:t>
            </w:r>
          </w:p>
        </w:tc>
        <w:tc>
          <w:tcPr>
            <w:tcW w:w="2511" w:type="pct"/>
            <w:tcMar>
              <w:top w:w="0" w:type="dxa"/>
              <w:left w:w="6" w:type="dxa"/>
              <w:bottom w:w="0" w:type="dxa"/>
              <w:right w:w="6" w:type="dxa"/>
            </w:tcMar>
            <w:hideMark/>
          </w:tcPr>
          <w:p w:rsidR="00790F40" w:rsidRDefault="00790F40">
            <w:pPr>
              <w:pStyle w:val="table10"/>
              <w:spacing w:before="120"/>
            </w:pPr>
            <w:r>
              <w:t>краны, вентили, клапаны для раковин, умывальников, биде, унитазов, ванн и аналогичная арматура; клапаны радиаторов центрального отопления</w:t>
            </w:r>
          </w:p>
        </w:tc>
      </w:tr>
      <w:tr w:rsidR="00790F40">
        <w:trPr>
          <w:trHeight w:val="240"/>
        </w:trPr>
        <w:tc>
          <w:tcPr>
            <w:tcW w:w="2489" w:type="pct"/>
            <w:tcMar>
              <w:top w:w="0" w:type="dxa"/>
              <w:left w:w="6" w:type="dxa"/>
              <w:bottom w:w="0" w:type="dxa"/>
              <w:right w:w="6" w:type="dxa"/>
            </w:tcMar>
            <w:hideMark/>
          </w:tcPr>
          <w:p w:rsidR="00790F40" w:rsidRDefault="00790F40">
            <w:pPr>
              <w:pStyle w:val="table10"/>
              <w:spacing w:before="120"/>
            </w:pPr>
            <w:r>
              <w:t>28.14.13</w:t>
            </w:r>
          </w:p>
        </w:tc>
        <w:tc>
          <w:tcPr>
            <w:tcW w:w="2511" w:type="pct"/>
            <w:tcMar>
              <w:top w:w="0" w:type="dxa"/>
              <w:left w:w="6" w:type="dxa"/>
              <w:bottom w:w="0" w:type="dxa"/>
              <w:right w:w="6" w:type="dxa"/>
            </w:tcMar>
            <w:hideMark/>
          </w:tcPr>
          <w:p w:rsidR="00790F40" w:rsidRDefault="00790F40">
            <w:pPr>
              <w:pStyle w:val="table10"/>
              <w:spacing w:before="120"/>
            </w:pPr>
            <w:r>
              <w:t>клапаны управления процессом, запорные клапаны, шаровые и прочие клапаны</w:t>
            </w:r>
          </w:p>
        </w:tc>
      </w:tr>
      <w:tr w:rsidR="00790F40">
        <w:trPr>
          <w:trHeight w:val="240"/>
        </w:trPr>
        <w:tc>
          <w:tcPr>
            <w:tcW w:w="2489" w:type="pct"/>
            <w:tcBorders>
              <w:bottom w:val="single" w:sz="4" w:space="0" w:color="auto"/>
            </w:tcBorders>
            <w:tcMar>
              <w:top w:w="0" w:type="dxa"/>
              <w:left w:w="6" w:type="dxa"/>
              <w:bottom w:w="0" w:type="dxa"/>
              <w:right w:w="6" w:type="dxa"/>
            </w:tcMar>
            <w:hideMark/>
          </w:tcPr>
          <w:p w:rsidR="00790F40" w:rsidRDefault="00790F40">
            <w:pPr>
              <w:pStyle w:val="table10"/>
              <w:spacing w:before="120"/>
            </w:pPr>
            <w:r>
              <w:t>28.25.20</w:t>
            </w:r>
          </w:p>
        </w:tc>
        <w:tc>
          <w:tcPr>
            <w:tcW w:w="2511" w:type="pct"/>
            <w:tcBorders>
              <w:bottom w:val="single" w:sz="4" w:space="0" w:color="auto"/>
            </w:tcBorders>
            <w:tcMar>
              <w:top w:w="0" w:type="dxa"/>
              <w:left w:w="6" w:type="dxa"/>
              <w:bottom w:w="0" w:type="dxa"/>
              <w:right w:w="6" w:type="dxa"/>
            </w:tcMar>
            <w:hideMark/>
          </w:tcPr>
          <w:p w:rsidR="00790F40" w:rsidRDefault="00790F40">
            <w:pPr>
              <w:pStyle w:val="table10"/>
              <w:spacing w:before="120"/>
            </w:pPr>
            <w:r>
              <w:t>вентиляторы (кроме вентиляторов настольных, напольных, настенных, оконных, потолочных или крышных</w:t>
            </w:r>
          </w:p>
        </w:tc>
      </w:tr>
    </w:tbl>
    <w:p w:rsidR="00790F40" w:rsidRDefault="00790F40">
      <w:pPr>
        <w:pStyle w:val="newncpi"/>
      </w:pPr>
      <w:r>
        <w:t> </w:t>
      </w:r>
    </w:p>
    <w:p w:rsidR="00790F40" w:rsidRDefault="00790F40">
      <w:pPr>
        <w:pStyle w:val="snoskiline"/>
      </w:pPr>
      <w:r>
        <w:t>______________________________</w:t>
      </w:r>
    </w:p>
    <w:p w:rsidR="00790F40" w:rsidRDefault="00790F40">
      <w:pPr>
        <w:pStyle w:val="snoski"/>
        <w:spacing w:after="240"/>
        <w:ind w:firstLine="567"/>
      </w:pPr>
      <w:r>
        <w:t>* Продукция определяется исключительно кодом общегосударственного классификатора Республики Беларусь ОКРБ 007-2012, наименование продукции приведено только для удобства пользования.</w:t>
      </w:r>
    </w:p>
    <w:p w:rsidR="00790F40" w:rsidRDefault="00790F40">
      <w:pPr>
        <w:pStyle w:val="newncpi"/>
      </w:pPr>
      <w:r>
        <w:t> </w:t>
      </w:r>
    </w:p>
    <w:p w:rsidR="00790F40" w:rsidRDefault="00790F40"/>
    <w:sectPr w:rsidR="00790F40" w:rsidSect="00790F40">
      <w:headerReference w:type="even" r:id="rId6"/>
      <w:headerReference w:type="default" r:id="rId7"/>
      <w:pgSz w:w="11906" w:h="16838"/>
      <w:pgMar w:top="1134" w:right="1133" w:bottom="1134" w:left="141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DBE" w:rsidRDefault="00840DBE" w:rsidP="00790F40">
      <w:pPr>
        <w:spacing w:after="0" w:line="240" w:lineRule="auto"/>
      </w:pPr>
      <w:r>
        <w:separator/>
      </w:r>
    </w:p>
  </w:endnote>
  <w:endnote w:type="continuationSeparator" w:id="0">
    <w:p w:rsidR="00840DBE" w:rsidRDefault="00840DBE" w:rsidP="00790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DBE" w:rsidRDefault="00840DBE" w:rsidP="00790F40">
      <w:pPr>
        <w:spacing w:after="0" w:line="240" w:lineRule="auto"/>
      </w:pPr>
      <w:r>
        <w:separator/>
      </w:r>
    </w:p>
  </w:footnote>
  <w:footnote w:type="continuationSeparator" w:id="0">
    <w:p w:rsidR="00840DBE" w:rsidRDefault="00840DBE" w:rsidP="00790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F40" w:rsidRDefault="00790F40" w:rsidP="002D0237">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790F40" w:rsidRDefault="00790F4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F40" w:rsidRPr="00790F40" w:rsidRDefault="00790F40" w:rsidP="002D0237">
    <w:pPr>
      <w:pStyle w:val="a3"/>
      <w:framePr w:wrap="around" w:vAnchor="text" w:hAnchor="margin" w:xAlign="center" w:y="1"/>
      <w:rPr>
        <w:rStyle w:val="a7"/>
        <w:rFonts w:ascii="Times New Roman" w:hAnsi="Times New Roman" w:cs="Times New Roman"/>
        <w:sz w:val="24"/>
      </w:rPr>
    </w:pPr>
    <w:r w:rsidRPr="00790F40">
      <w:rPr>
        <w:rStyle w:val="a7"/>
        <w:rFonts w:ascii="Times New Roman" w:hAnsi="Times New Roman" w:cs="Times New Roman"/>
        <w:sz w:val="24"/>
      </w:rPr>
      <w:fldChar w:fldCharType="begin"/>
    </w:r>
    <w:r w:rsidRPr="00790F40">
      <w:rPr>
        <w:rStyle w:val="a7"/>
        <w:rFonts w:ascii="Times New Roman" w:hAnsi="Times New Roman" w:cs="Times New Roman"/>
        <w:sz w:val="24"/>
      </w:rPr>
      <w:instrText xml:space="preserve"> PAGE </w:instrText>
    </w:r>
    <w:r w:rsidRPr="00790F40">
      <w:rPr>
        <w:rStyle w:val="a7"/>
        <w:rFonts w:ascii="Times New Roman" w:hAnsi="Times New Roman" w:cs="Times New Roman"/>
        <w:sz w:val="24"/>
      </w:rPr>
      <w:fldChar w:fldCharType="separate"/>
    </w:r>
    <w:r w:rsidRPr="00790F40">
      <w:rPr>
        <w:rStyle w:val="a7"/>
        <w:rFonts w:ascii="Times New Roman" w:hAnsi="Times New Roman" w:cs="Times New Roman"/>
        <w:noProof/>
        <w:sz w:val="24"/>
      </w:rPr>
      <w:t>10</w:t>
    </w:r>
    <w:r w:rsidRPr="00790F40">
      <w:rPr>
        <w:rStyle w:val="a7"/>
        <w:rFonts w:ascii="Times New Roman" w:hAnsi="Times New Roman" w:cs="Times New Roman"/>
        <w:sz w:val="24"/>
      </w:rPr>
      <w:fldChar w:fldCharType="end"/>
    </w:r>
  </w:p>
  <w:p w:rsidR="00790F40" w:rsidRPr="00790F40" w:rsidRDefault="00790F40">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40"/>
    <w:rsid w:val="004E671B"/>
    <w:rsid w:val="00790F40"/>
    <w:rsid w:val="00840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4AF2D-42F3-45B8-AB5C-3A631C50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790F4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790F4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790F40"/>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790F4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790F4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790F4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790F40"/>
    <w:pPr>
      <w:spacing w:after="0" w:line="240" w:lineRule="auto"/>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790F40"/>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790F40"/>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790F40"/>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790F4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790F40"/>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790F40"/>
    <w:pPr>
      <w:spacing w:after="28" w:line="240" w:lineRule="auto"/>
    </w:pPr>
    <w:rPr>
      <w:rFonts w:ascii="Times New Roman" w:eastAsiaTheme="minorEastAsia" w:hAnsi="Times New Roman" w:cs="Times New Roman"/>
      <w:lang w:eastAsia="ru-RU"/>
    </w:rPr>
  </w:style>
  <w:style w:type="paragraph" w:customStyle="1" w:styleId="cap1">
    <w:name w:val="cap1"/>
    <w:basedOn w:val="a"/>
    <w:rsid w:val="00790F40"/>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790F40"/>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790F4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790F40"/>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790F40"/>
    <w:rPr>
      <w:rFonts w:ascii="Times New Roman" w:hAnsi="Times New Roman" w:cs="Times New Roman" w:hint="default"/>
      <w:caps/>
    </w:rPr>
  </w:style>
  <w:style w:type="character" w:customStyle="1" w:styleId="promulgator">
    <w:name w:val="promulgator"/>
    <w:basedOn w:val="a0"/>
    <w:rsid w:val="00790F40"/>
    <w:rPr>
      <w:rFonts w:ascii="Times New Roman" w:hAnsi="Times New Roman" w:cs="Times New Roman" w:hint="default"/>
      <w:caps/>
    </w:rPr>
  </w:style>
  <w:style w:type="character" w:customStyle="1" w:styleId="datepr">
    <w:name w:val="datepr"/>
    <w:basedOn w:val="a0"/>
    <w:rsid w:val="00790F40"/>
    <w:rPr>
      <w:rFonts w:ascii="Times New Roman" w:hAnsi="Times New Roman" w:cs="Times New Roman" w:hint="default"/>
    </w:rPr>
  </w:style>
  <w:style w:type="character" w:customStyle="1" w:styleId="number">
    <w:name w:val="number"/>
    <w:basedOn w:val="a0"/>
    <w:rsid w:val="00790F40"/>
    <w:rPr>
      <w:rFonts w:ascii="Times New Roman" w:hAnsi="Times New Roman" w:cs="Times New Roman" w:hint="default"/>
    </w:rPr>
  </w:style>
  <w:style w:type="character" w:customStyle="1" w:styleId="post">
    <w:name w:val="post"/>
    <w:basedOn w:val="a0"/>
    <w:rsid w:val="00790F40"/>
    <w:rPr>
      <w:rFonts w:ascii="Times New Roman" w:hAnsi="Times New Roman" w:cs="Times New Roman" w:hint="default"/>
      <w:b/>
      <w:bCs/>
      <w:sz w:val="22"/>
      <w:szCs w:val="22"/>
    </w:rPr>
  </w:style>
  <w:style w:type="character" w:customStyle="1" w:styleId="pers">
    <w:name w:val="pers"/>
    <w:basedOn w:val="a0"/>
    <w:rsid w:val="00790F40"/>
    <w:rPr>
      <w:rFonts w:ascii="Times New Roman" w:hAnsi="Times New Roman" w:cs="Times New Roman" w:hint="default"/>
      <w:b/>
      <w:bCs/>
      <w:sz w:val="22"/>
      <w:szCs w:val="22"/>
    </w:rPr>
  </w:style>
  <w:style w:type="paragraph" w:styleId="a3">
    <w:name w:val="header"/>
    <w:basedOn w:val="a"/>
    <w:link w:val="a4"/>
    <w:uiPriority w:val="99"/>
    <w:unhideWhenUsed/>
    <w:rsid w:val="00790F4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90F40"/>
  </w:style>
  <w:style w:type="paragraph" w:styleId="a5">
    <w:name w:val="footer"/>
    <w:basedOn w:val="a"/>
    <w:link w:val="a6"/>
    <w:uiPriority w:val="99"/>
    <w:unhideWhenUsed/>
    <w:rsid w:val="00790F4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90F40"/>
  </w:style>
  <w:style w:type="character" w:styleId="a7">
    <w:name w:val="page number"/>
    <w:basedOn w:val="a0"/>
    <w:uiPriority w:val="99"/>
    <w:semiHidden/>
    <w:unhideWhenUsed/>
    <w:rsid w:val="00790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4343</Words>
  <Characters>24758</Characters>
  <Application>Microsoft Office Word</Application>
  <DocSecurity>0</DocSecurity>
  <Lines>206</Lines>
  <Paragraphs>58</Paragraphs>
  <ScaleCrop>false</ScaleCrop>
  <Company/>
  <LinksUpToDate>false</LinksUpToDate>
  <CharactersWithSpaces>29043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Парфенова Ирина Александровна</dc:creator>
  <cp:keywords/>
  <dc:description/>
  <cp:lastModifiedBy>Гаврилович Галина Николаевна</cp:lastModifiedBy>
  <cp:revision>2</cp:revision>
  <dcterms:created xsi:type="dcterms:W3CDTF">2025-10-28T10:06:00Z</dcterms:created>
  <dcterms:modified xsi:type="dcterms:W3CDTF">2025-10-28T10:06:00Z</dcterms:modified>
</cp:coreProperties>
</file>