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7F19" w14:textId="77777777"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 «Стабилизационный»</w:t>
      </w:r>
    </w:p>
    <w:p w14:paraId="33709376" w14:textId="77777777"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0D5E43F" w14:textId="77777777"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035"/>
        <w:gridCol w:w="9592"/>
      </w:tblGrid>
      <w:tr w:rsidR="00A53BCE" w:rsidRPr="00103C07" w14:paraId="37275933" w14:textId="77777777" w:rsidTr="00A53BCE">
        <w:trPr>
          <w:jc w:val="center"/>
        </w:trPr>
        <w:tc>
          <w:tcPr>
            <w:tcW w:w="2281" w:type="dxa"/>
            <w:vAlign w:val="center"/>
          </w:tcPr>
          <w:p w14:paraId="28A1F837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14:paraId="13336E9E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14:paraId="14E07004" w14:textId="77777777" w:rsidTr="00A53BCE">
        <w:trPr>
          <w:jc w:val="center"/>
        </w:trPr>
        <w:tc>
          <w:tcPr>
            <w:tcW w:w="2281" w:type="dxa"/>
          </w:tcPr>
          <w:p w14:paraId="7B95BD09" w14:textId="77777777"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14:paraId="26AEA44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14:paraId="16354689" w14:textId="77777777" w:rsidTr="00A53BCE">
        <w:trPr>
          <w:jc w:val="center"/>
        </w:trPr>
        <w:tc>
          <w:tcPr>
            <w:tcW w:w="2281" w:type="dxa"/>
          </w:tcPr>
          <w:p w14:paraId="0135FC7C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14:paraId="6ADF5E65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A53BCE" w:rsidRPr="00103C07" w14:paraId="5999CD24" w14:textId="77777777" w:rsidTr="00A53BCE">
        <w:trPr>
          <w:jc w:val="center"/>
        </w:trPr>
        <w:tc>
          <w:tcPr>
            <w:tcW w:w="2281" w:type="dxa"/>
          </w:tcPr>
          <w:p w14:paraId="14DFBEFA" w14:textId="77777777"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14:paraId="2A249CA2" w14:textId="6B38773E"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14:paraId="56A78E5C" w14:textId="77777777" w:rsidTr="00A53BCE">
        <w:trPr>
          <w:jc w:val="center"/>
        </w:trPr>
        <w:tc>
          <w:tcPr>
            <w:tcW w:w="2281" w:type="dxa"/>
          </w:tcPr>
          <w:p w14:paraId="7C5FB331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14:paraId="53C56459" w14:textId="77777777"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14:paraId="063A34AD" w14:textId="77777777" w:rsidTr="00A53BCE">
        <w:trPr>
          <w:jc w:val="center"/>
        </w:trPr>
        <w:tc>
          <w:tcPr>
            <w:tcW w:w="2281" w:type="dxa"/>
          </w:tcPr>
          <w:p w14:paraId="750D4C11" w14:textId="77777777"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14:paraId="2783CC1D" w14:textId="05B96425"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14:paraId="306C4DEE" w14:textId="77777777" w:rsidTr="00A53BCE">
        <w:trPr>
          <w:trHeight w:val="389"/>
          <w:jc w:val="center"/>
        </w:trPr>
        <w:tc>
          <w:tcPr>
            <w:tcW w:w="2281" w:type="dxa"/>
          </w:tcPr>
          <w:p w14:paraId="020396E9" w14:textId="77777777"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14:paraId="5EC115C0" w14:textId="77777777"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14:paraId="4D6BB8E8" w14:textId="77777777" w:rsidTr="00A53BCE">
        <w:trPr>
          <w:jc w:val="center"/>
        </w:trPr>
        <w:tc>
          <w:tcPr>
            <w:tcW w:w="2281" w:type="dxa"/>
          </w:tcPr>
          <w:p w14:paraId="45F6728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14:paraId="34B63714" w14:textId="77777777"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14:paraId="074B4475" w14:textId="77777777" w:rsidTr="00A53BCE">
        <w:trPr>
          <w:jc w:val="center"/>
        </w:trPr>
        <w:tc>
          <w:tcPr>
            <w:tcW w:w="2281" w:type="dxa"/>
          </w:tcPr>
          <w:p w14:paraId="38A1706D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14:paraId="0008BE87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6A81F2CB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14:paraId="164C46F8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сырья и материалов – до 12 месяцев.</w:t>
            </w:r>
          </w:p>
        </w:tc>
      </w:tr>
      <w:tr w:rsidR="00226800" w:rsidRPr="00103C07" w14:paraId="35B40257" w14:textId="7777777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14:paraId="6D8DDDFF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627" w:type="dxa"/>
            <w:gridSpan w:val="2"/>
          </w:tcPr>
          <w:p w14:paraId="768A60E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</w:t>
            </w:r>
            <w:proofErr w:type="spellStart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экспорториентированным</w:t>
            </w:r>
            <w:proofErr w:type="spellEnd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и/или «импортозамещающим» (в соответствии со следующими условиями).</w:t>
            </w:r>
          </w:p>
        </w:tc>
      </w:tr>
      <w:tr w:rsidR="00226800" w:rsidRPr="00103C07" w14:paraId="102C41A2" w14:textId="77777777" w:rsidTr="00A53BCE">
        <w:trPr>
          <w:jc w:val="center"/>
        </w:trPr>
        <w:tc>
          <w:tcPr>
            <w:tcW w:w="2281" w:type="dxa"/>
            <w:vMerge/>
          </w:tcPr>
          <w:p w14:paraId="55CA92A7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76902B5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14:paraId="7299C520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14:paraId="22A4E8A7" w14:textId="77777777" w:rsidTr="00A53BCE">
        <w:trPr>
          <w:jc w:val="center"/>
        </w:trPr>
        <w:tc>
          <w:tcPr>
            <w:tcW w:w="2281" w:type="dxa"/>
            <w:vMerge w:val="restart"/>
          </w:tcPr>
          <w:p w14:paraId="0CDE91A3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185CD0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14:paraId="1516F22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14:paraId="2C5400D5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14:paraId="2DB0B63C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(за исключением проектов,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BE0E1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14:paraId="4CFF03B6" w14:textId="77777777"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3E2D37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14:paraId="6259777D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9CE7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14:paraId="3381FC07" w14:textId="77777777"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AE61C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14:paraId="68E8C7F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14:paraId="454CE218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14:paraId="318A7A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14:paraId="288A5AC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V (за исключением подгрупп 2501; 2517; 2522; 2523; 2606; 2616; 2617; 2619; 2620; 2703; 2707; 2710; 2714; 2715; 2716);</w:t>
            </w:r>
          </w:p>
          <w:p w14:paraId="5EC9CC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14:paraId="7EB73186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14:paraId="54F3D88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14:paraId="29C61D17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14:paraId="3056CCB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14:paraId="0CF8DF7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14:paraId="42A11D7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14:paraId="39F50EA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14:paraId="094069D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14:paraId="072883DF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14:paraId="3857A8A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14:paraId="15EEC43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XVIII (за исключением подгрупп 9005; 9010; 9013; 9023; 9025; 9026; 9028; 9029; 9030; 9031; 9032; 9033; 9105; 9201; 9208; 9209);</w:t>
            </w:r>
          </w:p>
          <w:p w14:paraId="03E999B8" w14:textId="77777777"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14:paraId="33BADC5F" w14:textId="77777777"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14:paraId="69306EA4" w14:textId="77777777" w:rsidTr="00A53BCE">
        <w:trPr>
          <w:trHeight w:val="693"/>
          <w:jc w:val="center"/>
        </w:trPr>
        <w:tc>
          <w:tcPr>
            <w:tcW w:w="2281" w:type="dxa"/>
            <w:vMerge/>
          </w:tcPr>
          <w:p w14:paraId="2B7E14BA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14:paraId="1EEDF70B" w14:textId="77777777"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2A2B21D0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BCE09C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1001956B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F4F38E" w14:textId="100B6298"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021184B0" w14:textId="77777777"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E24E2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33F8F9BA" w14:textId="77777777"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">
    <w:p w14:paraId="71911455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3">
    <w:p w14:paraId="65C5F0D2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A7B04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4F6D97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2025-09-29T08:14:00Z</dcterms:modified>
</cp:coreProperties>
</file>