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793" w:rsidRDefault="00D0779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07793" w:rsidRDefault="00D07793">
      <w:pPr>
        <w:pStyle w:val="newncpi"/>
        <w:ind w:firstLine="0"/>
        <w:jc w:val="center"/>
      </w:pPr>
      <w:r>
        <w:rPr>
          <w:rStyle w:val="datepr"/>
        </w:rPr>
        <w:t>15 июня 2021 г.</w:t>
      </w:r>
      <w:r>
        <w:rPr>
          <w:rStyle w:val="number"/>
        </w:rPr>
        <w:t xml:space="preserve"> № 331</w:t>
      </w:r>
    </w:p>
    <w:p w:rsidR="00D07793" w:rsidRDefault="00D07793">
      <w:pPr>
        <w:pStyle w:val="titlencpi"/>
      </w:pPr>
      <w:r>
        <w:t>О перечнях мест размещения (маршрутов движения) отдельных торговых объектов и объектов общественного питания</w:t>
      </w:r>
    </w:p>
    <w:p w:rsidR="00D07793" w:rsidRDefault="00D07793">
      <w:pPr>
        <w:pStyle w:val="changei"/>
      </w:pPr>
      <w:r>
        <w:t>Изменения и дополнения:</w:t>
      </w:r>
    </w:p>
    <w:p w:rsidR="00D07793" w:rsidRDefault="00D07793">
      <w:pPr>
        <w:pStyle w:val="changeadd"/>
      </w:pPr>
      <w:r>
        <w:t>Постановление Совета Министров Республики Беларусь от 3 ноября 2025 г. № 608 (Национальный правовой Интернет-портал Республики Беларусь, 05.11.2025, 6-2/55398) &lt;C22500608&gt;</w:t>
      </w:r>
    </w:p>
    <w:p w:rsidR="00D07793" w:rsidRDefault="00D07793">
      <w:pPr>
        <w:pStyle w:val="newncpi"/>
      </w:pPr>
      <w:r>
        <w:t> </w:t>
      </w:r>
    </w:p>
    <w:p w:rsidR="00D07793" w:rsidRDefault="00D07793">
      <w:pPr>
        <w:pStyle w:val="preamble"/>
      </w:pPr>
      <w:r>
        <w:t>На основании части второй пункта 2 статьи 12 Закона Республики Беларусь от 8 января 2014 г. № 128-З «О государственном регулировании торговли и общественного питания» и во исполнение абзаца третьего статьи 3 Закона Республики Беларусь от 4 января 2021 г. № 81-З «Об изменении Закона Республики Беларусь «О государственном регулировании торговли и общественного питания в Республике Беларусь» Совет Министров Республики Беларусь ПОСТАНОВЛЯЕТ:</w:t>
      </w:r>
    </w:p>
    <w:p w:rsidR="00D07793" w:rsidRDefault="00D07793">
      <w:pPr>
        <w:pStyle w:val="point"/>
      </w:pPr>
      <w:r>
        <w:t>1. Утвердить Положение о 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(прилагается).</w:t>
      </w:r>
    </w:p>
    <w:p w:rsidR="00D07793" w:rsidRDefault="00D07793">
      <w:pPr>
        <w:pStyle w:val="point"/>
      </w:pPr>
      <w:r>
        <w:t>2. Настоящее постановление вступает в силу с 8 июля 2021 г.</w:t>
      </w:r>
    </w:p>
    <w:p w:rsidR="00D07793" w:rsidRDefault="00D077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0779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07793" w:rsidRDefault="00D0779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07793" w:rsidRDefault="00D0779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D07793" w:rsidRDefault="00D0779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0779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793" w:rsidRDefault="00D0779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793" w:rsidRDefault="00D07793">
            <w:pPr>
              <w:pStyle w:val="capu1"/>
            </w:pPr>
            <w:r>
              <w:t>УТВЕРЖДЕНО</w:t>
            </w:r>
          </w:p>
          <w:p w:rsidR="00D07793" w:rsidRDefault="00D0779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15.06.2021 № 331</w:t>
            </w:r>
          </w:p>
        </w:tc>
      </w:tr>
    </w:tbl>
    <w:p w:rsidR="00D07793" w:rsidRDefault="00D07793">
      <w:pPr>
        <w:pStyle w:val="titleu"/>
      </w:pPr>
      <w:r>
        <w:t>ПОЛОЖЕНИЕ</w:t>
      </w:r>
      <w:r>
        <w:br/>
        <w:t>о 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</w:t>
      </w:r>
    </w:p>
    <w:p w:rsidR="00D07793" w:rsidRDefault="00D07793">
      <w:pPr>
        <w:pStyle w:val="chapter"/>
      </w:pPr>
      <w:r>
        <w:t>ГЛАВА 1</w:t>
      </w:r>
      <w:r>
        <w:br/>
        <w:t>ОБЩИЕ ПОЛОЖЕНИЯ</w:t>
      </w:r>
    </w:p>
    <w:p w:rsidR="00D07793" w:rsidRDefault="00D07793">
      <w:pPr>
        <w:pStyle w:val="point"/>
      </w:pPr>
      <w:r>
        <w:t>1. Настоящим Положением определяется порядок определения перечней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(далее – перечни), внесения в них изменений, а также состав включаемых в перечни сведений.</w:t>
      </w:r>
    </w:p>
    <w:p w:rsidR="00D07793" w:rsidRDefault="00D07793">
      <w:pPr>
        <w:pStyle w:val="point"/>
      </w:pPr>
      <w:r>
        <w:t>2. Для целей настоящего Положения используются термины в значениях, установленных 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D07793" w:rsidRDefault="00D07793">
      <w:pPr>
        <w:pStyle w:val="newncpi"/>
      </w:pPr>
      <w:r>
        <w:t>маршрут движения – путь следования передвижного торгового объекта, передвижного объекта общественного питания (далее, если не указано иное, – передвижной объект) с указанием адресных ориентиров мест остановки для осуществления розничной торговли, общественного питания, а также в случаях, предусмотренных законодательными актами, – времени прибытия и убытия с этих мест;</w:t>
      </w:r>
    </w:p>
    <w:p w:rsidR="00D07793" w:rsidRDefault="00D07793">
      <w:pPr>
        <w:pStyle w:val="newncpi"/>
      </w:pPr>
      <w:r>
        <w:t>периодичность движения по маршруту – дни недели и (или) месяца, в которые осуществляется следование по маршруту движения передвижного объекта.</w:t>
      </w:r>
    </w:p>
    <w:p w:rsidR="00D07793" w:rsidRDefault="00D07793">
      <w:pPr>
        <w:pStyle w:val="point"/>
      </w:pPr>
      <w:r>
        <w:t>3. Перечни определяются городскими (кроме г. Минска), районными исполнительными комитетами, местными администрациями районов в г. Минске (далее – местные исполнительные и распорядительные органы) и включают места размещения нестационарных торговых объектов, нестационарных объектов общественного питания, летних площадок (продолжений залов) (далее, если не указано иное, – нестационарные объекты) и маршруты движения передвижных объектов, расположенные на землях общего пользования населенных пунктов, садоводческих товариществ, дачных кооперативов, на плоскостных сооружениях, находящихся в государственной собственности и расположенных на землях общего пользования.</w:t>
      </w:r>
    </w:p>
    <w:p w:rsidR="00D07793" w:rsidRDefault="00D07793">
      <w:pPr>
        <w:pStyle w:val="point"/>
      </w:pPr>
      <w:r>
        <w:t>4. Перечни определяются c учетом следующих требований:</w:t>
      </w:r>
    </w:p>
    <w:p w:rsidR="00D07793" w:rsidRDefault="00D07793">
      <w:pPr>
        <w:pStyle w:val="newncpi"/>
      </w:pPr>
      <w:r>
        <w:t>создание условий для улучшения обслуживания населения в области торговли и общественного питания, включая соблюдение нормативов государственных социальных стандартов в области торговли и общественного питания;</w:t>
      </w:r>
    </w:p>
    <w:p w:rsidR="00D07793" w:rsidRDefault="00D07793">
      <w:pPr>
        <w:pStyle w:val="newncpi"/>
      </w:pPr>
      <w:r>
        <w:t>содействие развитию торговли и общественного питания;</w:t>
      </w:r>
    </w:p>
    <w:p w:rsidR="00D07793" w:rsidRDefault="00D07793">
      <w:pPr>
        <w:pStyle w:val="newncpi"/>
      </w:pPr>
      <w:r>
        <w:t>соответствие правилам благоустройства и содержания населенных пунктов, строительным проектам в стадии реализации;</w:t>
      </w:r>
    </w:p>
    <w:p w:rsidR="00D07793" w:rsidRDefault="00D07793">
      <w:pPr>
        <w:pStyle w:val="newncpi"/>
      </w:pPr>
      <w:r>
        <w:t>соответствие обязательным для соблюдения требованиям технических нормативных правовых актов в области архитектурной деятельности, природоохранным, санитарно-эпидемиологическим требованиям, требованиям пожарной безопасности, требованиям законодательства в сфере охраны историко-культурного наследия, в том числе проектам зон охраны недвижимых материальных историко-культурных ценностей, и иным обязательным для соблюдения требованиям.</w:t>
      </w:r>
    </w:p>
    <w:p w:rsidR="00D07793" w:rsidRDefault="00D07793">
      <w:pPr>
        <w:pStyle w:val="point"/>
      </w:pPr>
      <w:r>
        <w:t>5. В перечни не допускается включение мест размещения нестационарных объектов, маршрутов движения передвижных объектов в случаях, если:</w:t>
      </w:r>
    </w:p>
    <w:p w:rsidR="00D07793" w:rsidRDefault="00D07793">
      <w:pPr>
        <w:pStyle w:val="underpoint"/>
      </w:pPr>
      <w:r>
        <w:t>5.1. такое размещение или движение:</w:t>
      </w:r>
    </w:p>
    <w:p w:rsidR="00D07793" w:rsidRDefault="00D07793">
      <w:pPr>
        <w:pStyle w:val="newncpi"/>
      </w:pPr>
      <w:r>
        <w:t>не соответствует требованиям, указанным в пункте 4 настоящего Положения;</w:t>
      </w:r>
    </w:p>
    <w:p w:rsidR="00D07793" w:rsidRDefault="00D07793">
      <w:pPr>
        <w:pStyle w:val="newncpi"/>
      </w:pPr>
      <w:r>
        <w:t>препятствует движению пешеходов, свободному подъезду пожарной, аварийно-спасательной техники и иных транспортных средств, доступу к объектам инженерной и (или) транспортной инфраструктуры;</w:t>
      </w:r>
    </w:p>
    <w:p w:rsidR="00D07793" w:rsidRDefault="00D07793">
      <w:pPr>
        <w:pStyle w:val="newncpi"/>
      </w:pPr>
      <w:r>
        <w:t>предусматривается в противопожарных разрывах между зданиями и сооружениями;</w:t>
      </w:r>
    </w:p>
    <w:p w:rsidR="00D07793" w:rsidRDefault="00D07793">
      <w:pPr>
        <w:pStyle w:val="newncpi"/>
      </w:pPr>
      <w:r>
        <w:t>создает угрозу общественной безопасности, причинения вреда жизни, здоровью граждан, имуществу юридических или физических лиц;</w:t>
      </w:r>
    </w:p>
    <w:p w:rsidR="00D07793" w:rsidRDefault="00D07793">
      <w:pPr>
        <w:pStyle w:val="newncpi"/>
      </w:pPr>
      <w:r>
        <w:t>предусматривается на земельном участке, в отношении которого утвержден акт выбора места размещения земельного участка;</w:t>
      </w:r>
    </w:p>
    <w:p w:rsidR="00D07793" w:rsidRDefault="00D07793">
      <w:pPr>
        <w:pStyle w:val="newncpi"/>
      </w:pPr>
      <w:r>
        <w:t>предусматривается в зоне возможного опасного химического заражения (при отсутствии мероприятий по обеспечению защиты населения от возможной чрезвычайной ситуации);</w:t>
      </w:r>
    </w:p>
    <w:p w:rsidR="00D07793" w:rsidRDefault="00D07793">
      <w:pPr>
        <w:pStyle w:val="newncpi"/>
      </w:pPr>
      <w:r>
        <w:t>создает угрозу уничтожения недвижимых материальных историко-культурных ценностей, причинение им вреда или ухудшение их технического состояния, а также повлечет научно необоснованное изменение, перемещение и ухудшение условий восприятия недвижимых материальных историко-культурных ценностей, в том числе создание преград для визуального восприятия объемно-пространственных особенностей, элементов и деталей архитектурного декора;</w:t>
      </w:r>
    </w:p>
    <w:p w:rsidR="00D07793" w:rsidRDefault="00D07793">
      <w:pPr>
        <w:pStyle w:val="underpoint"/>
      </w:pPr>
      <w:r>
        <w:t>5.2. для размещения, движения или эксплуатации нестационарных и передвижных объектов потребуется удаление, пересадка деревьев, кустарников;</w:t>
      </w:r>
    </w:p>
    <w:p w:rsidR="00D07793" w:rsidRDefault="00D07793">
      <w:pPr>
        <w:pStyle w:val="underpoint"/>
      </w:pPr>
      <w:r>
        <w:t>5.3. местным исполнительным и распорядительным органом принято решение:</w:t>
      </w:r>
    </w:p>
    <w:p w:rsidR="00D07793" w:rsidRDefault="00D07793">
      <w:pPr>
        <w:pStyle w:val="newncpi"/>
      </w:pPr>
      <w:r>
        <w:t>о предстоящем изъятии земельного участка для государственных нужд и сносе расположенных на нем объектов недвижимого имущества;</w:t>
      </w:r>
    </w:p>
    <w:p w:rsidR="00D07793" w:rsidRDefault="00D07793">
      <w:pPr>
        <w:pStyle w:val="newncpi"/>
      </w:pPr>
      <w:r>
        <w:t>о разрешении проведения проектных и изыскательских работ, строительства объекта.</w:t>
      </w:r>
    </w:p>
    <w:p w:rsidR="00D07793" w:rsidRDefault="00D07793">
      <w:pPr>
        <w:pStyle w:val="chapter"/>
      </w:pPr>
      <w:r>
        <w:t>ГЛАВА 2</w:t>
      </w:r>
      <w:r>
        <w:br/>
        <w:t>ПОРЯДОК ОПРЕДЕЛЕНИЯ ПЕРЕЧНЕЙ И ВНЕСЕНИЯ В НИХ ИЗМЕНЕНИЙ</w:t>
      </w:r>
    </w:p>
    <w:p w:rsidR="00D07793" w:rsidRDefault="00D07793">
      <w:pPr>
        <w:pStyle w:val="point"/>
      </w:pPr>
      <w:r>
        <w:t>6. Определение перечней осуществляется местными исполнительными и распорядительными органами с учетом результатов анализа показателей развития торговли и общественного питания, выполнения нормативов государственных социальных стандартов в области торговли и общественного питания соответствующей административно-территориальной единицы и включает в себя:</w:t>
      </w:r>
    </w:p>
    <w:p w:rsidR="00D07793" w:rsidRDefault="00D07793">
      <w:pPr>
        <w:pStyle w:val="newncpi"/>
      </w:pPr>
      <w:r>
        <w:t>подготовку проектов перечней;</w:t>
      </w:r>
    </w:p>
    <w:p w:rsidR="00D07793" w:rsidRDefault="00D07793">
      <w:pPr>
        <w:pStyle w:val="newncpi"/>
      </w:pPr>
      <w:r>
        <w:t>согласование проектов перечней с Министерством культуры, если проекты перечней предусматривают места размещения нестационарных объектов на территории недвижимых материальных историко-культурных ценностей и в зонах их охраны;</w:t>
      </w:r>
    </w:p>
    <w:p w:rsidR="00D07793" w:rsidRDefault="00D07793">
      <w:pPr>
        <w:pStyle w:val="newncpi"/>
      </w:pPr>
      <w:r>
        <w:t>принятие решения об определении перечней;</w:t>
      </w:r>
    </w:p>
    <w:p w:rsidR="00D07793" w:rsidRDefault="00D07793">
      <w:pPr>
        <w:pStyle w:val="newncpi"/>
      </w:pPr>
      <w:r>
        <w:t>опубликование перечней.</w:t>
      </w:r>
    </w:p>
    <w:p w:rsidR="00D07793" w:rsidRDefault="00D07793">
      <w:pPr>
        <w:pStyle w:val="point"/>
      </w:pPr>
      <w:r>
        <w:t>7. Перечни размещаются на официальном сайте местного исполнительного и распорядительного органа в глобальной компьютерной сети Интернет в течение пяти рабочих дней со дня их определения.</w:t>
      </w:r>
    </w:p>
    <w:p w:rsidR="00D07793" w:rsidRDefault="00D07793">
      <w:pPr>
        <w:pStyle w:val="point"/>
      </w:pPr>
      <w:r>
        <w:t>8. Основаниями для внесения изменений в перечни являются:</w:t>
      </w:r>
    </w:p>
    <w:p w:rsidR="00D07793" w:rsidRDefault="00D07793">
      <w:pPr>
        <w:pStyle w:val="newncpi"/>
      </w:pPr>
      <w:r>
        <w:t>обращения субъектов торговли, общественного питания или иных заинтересованных лиц;</w:t>
      </w:r>
    </w:p>
    <w:p w:rsidR="00D07793" w:rsidRDefault="00D07793">
      <w:pPr>
        <w:pStyle w:val="newncpi"/>
      </w:pPr>
      <w:r>
        <w:t>возникновение обстоятельств, указанных в пункте 5 настоящего Положения;</w:t>
      </w:r>
    </w:p>
    <w:p w:rsidR="00D07793" w:rsidRDefault="00D07793">
      <w:pPr>
        <w:pStyle w:val="newncpi"/>
      </w:pPr>
      <w:r>
        <w:t>изменение нормативов государственных социальных стандартов в области торговли и общественного питания;</w:t>
      </w:r>
    </w:p>
    <w:p w:rsidR="00D07793" w:rsidRDefault="00D07793">
      <w:pPr>
        <w:pStyle w:val="newncpi"/>
      </w:pPr>
      <w:r>
        <w:t>изменение застройки отдельных элементов планировочной структуры населенных пунктов, районов, микрорайонов, иных элементов либо закрытие торговых объектов и объектов общественного питания, повлекшее несоблюдение нормативов государственных социальных стандартов в области торговли и общественного питания.</w:t>
      </w:r>
    </w:p>
    <w:p w:rsidR="00D07793" w:rsidRDefault="00D07793">
      <w:pPr>
        <w:pStyle w:val="point"/>
      </w:pPr>
      <w:r>
        <w:t>9. Для внесения изменений в перечни субъект торговли, общественного питания или иное заинтересованное лицо представляет в соответствующий местный исполнительный и распорядительный орган обращение с указанием изменений, оснований их внесения и имеющейся информации о месте размещения нестационарного объекта или маршруте движения передвижного объекта, предусмотренной в пункте 13 настоящего Положения.</w:t>
      </w:r>
    </w:p>
    <w:p w:rsidR="00D07793" w:rsidRDefault="00D07793">
      <w:pPr>
        <w:pStyle w:val="point"/>
      </w:pPr>
      <w:r>
        <w:t>10. Местный исполнительный и распорядительный орган рассматривает обращение, указанное в пункте 9 настоящего Положения, в соответствии с законодательством об обращениях граждан и юридических лиц.</w:t>
      </w:r>
    </w:p>
    <w:p w:rsidR="00D07793" w:rsidRDefault="00D07793">
      <w:pPr>
        <w:pStyle w:val="point"/>
      </w:pPr>
      <w:r>
        <w:t>11. Внесение изменений в перечни осуществляется в порядке, аналогичном порядку их определения.</w:t>
      </w:r>
    </w:p>
    <w:p w:rsidR="00D07793" w:rsidRDefault="00D07793">
      <w:pPr>
        <w:pStyle w:val="chapter"/>
      </w:pPr>
      <w:r>
        <w:t>ГЛАВА 3</w:t>
      </w:r>
      <w:r>
        <w:br/>
        <w:t>СОСТАВ СВЕДЕНИЙ, ВКЛЮЧАЕМЫХ В ПЕРЕЧНИ</w:t>
      </w:r>
    </w:p>
    <w:p w:rsidR="00D07793" w:rsidRDefault="00D07793">
      <w:pPr>
        <w:pStyle w:val="point"/>
      </w:pPr>
      <w:r>
        <w:t>12. В перечни включаются следующие сведения:</w:t>
      </w:r>
    </w:p>
    <w:p w:rsidR="00D07793" w:rsidRDefault="00D07793">
      <w:pPr>
        <w:pStyle w:val="underpoint"/>
      </w:pPr>
      <w:r>
        <w:t>12.1. о месте размещения нестационарного объекта:</w:t>
      </w:r>
    </w:p>
    <w:p w:rsidR="00D07793" w:rsidRDefault="00D07793">
      <w:pPr>
        <w:pStyle w:val="newncpi"/>
      </w:pPr>
      <w:r>
        <w:t>адресные ориентиры места размещения;</w:t>
      </w:r>
    </w:p>
    <w:p w:rsidR="00D07793" w:rsidRDefault="00D07793">
      <w:pPr>
        <w:pStyle w:val="newncpi"/>
      </w:pPr>
      <w:r>
        <w:t>вид нестационарного торгового объекта в зависимости от его формата;</w:t>
      </w:r>
    </w:p>
    <w:p w:rsidR="00D07793" w:rsidRDefault="00D07793">
      <w:pPr>
        <w:pStyle w:val="newncpi"/>
      </w:pPr>
      <w:r>
        <w:t>тип нестационарного объекта общественного питании в зависимости от его формата (при его наличии);</w:t>
      </w:r>
    </w:p>
    <w:p w:rsidR="00D07793" w:rsidRDefault="00D07793">
      <w:pPr>
        <w:pStyle w:val="newncpi"/>
      </w:pPr>
      <w:r>
        <w:t>срок (период, сезон) размещения;</w:t>
      </w:r>
    </w:p>
    <w:p w:rsidR="00D07793" w:rsidRDefault="00D07793">
      <w:pPr>
        <w:pStyle w:val="newncpi"/>
      </w:pPr>
      <w:r>
        <w:t>классы, группы и (или) виды реализуемых товаров (для нестационарного торгового объекта – при необходимости);</w:t>
      </w:r>
    </w:p>
    <w:p w:rsidR="00D07793" w:rsidRDefault="00D07793">
      <w:pPr>
        <w:pStyle w:val="newncpi"/>
      </w:pPr>
      <w:r>
        <w:t>виды реализуемой продукции общественного питания (для нестационарного объекта общественного питания – при необходимости);</w:t>
      </w:r>
    </w:p>
    <w:p w:rsidR="00D07793" w:rsidRDefault="00D07793">
      <w:pPr>
        <w:pStyle w:val="newncpi"/>
      </w:pPr>
      <w:r>
        <w:t>требования к внешнему виду и размеру нестационарного объекта, установленные местным исполнительным и распорядительным органом (если таковые установлены);</w:t>
      </w:r>
    </w:p>
    <w:p w:rsidR="00D07793" w:rsidRDefault="00D07793">
      <w:pPr>
        <w:pStyle w:val="underpoint"/>
      </w:pPr>
      <w:r>
        <w:t>12.2. о маршруте движения передвижного объекта:</w:t>
      </w:r>
    </w:p>
    <w:p w:rsidR="00D07793" w:rsidRDefault="00D07793">
      <w:pPr>
        <w:pStyle w:val="newncpi"/>
      </w:pPr>
      <w:r>
        <w:t>адресные ориентиры мест остановки для осуществления розничной торговли, общественного питания, а также в случаях, предусмотренных законодательными актами, – время прибытия и убытия с этих мест;</w:t>
      </w:r>
    </w:p>
    <w:p w:rsidR="00D07793" w:rsidRDefault="00D07793">
      <w:pPr>
        <w:pStyle w:val="newncpi"/>
      </w:pPr>
      <w:r>
        <w:t>вид передвижного торгового объекта в зависимости от его формата;</w:t>
      </w:r>
    </w:p>
    <w:p w:rsidR="00D07793" w:rsidRDefault="00D07793">
      <w:pPr>
        <w:pStyle w:val="newncpi"/>
      </w:pPr>
      <w:r>
        <w:t>тип передвижного объекта общественного питания в зависимости от его формата (при его наличии);</w:t>
      </w:r>
    </w:p>
    <w:p w:rsidR="00D07793" w:rsidRDefault="00D07793">
      <w:pPr>
        <w:pStyle w:val="newncpi"/>
      </w:pPr>
      <w:r>
        <w:t>срок (период, сезон) работы;</w:t>
      </w:r>
    </w:p>
    <w:p w:rsidR="00D07793" w:rsidRDefault="00D07793">
      <w:pPr>
        <w:pStyle w:val="newncpi"/>
      </w:pPr>
      <w:r>
        <w:t>периодичность движения по маршруту (при необходимости);</w:t>
      </w:r>
    </w:p>
    <w:p w:rsidR="00D07793" w:rsidRDefault="00D07793">
      <w:pPr>
        <w:pStyle w:val="newncpi"/>
      </w:pPr>
      <w:r>
        <w:t>классы, группы и (или) виды реализуемых товаров (для передвижного торгового объекта – при необходимости);</w:t>
      </w:r>
    </w:p>
    <w:p w:rsidR="00D07793" w:rsidRDefault="00D07793">
      <w:pPr>
        <w:pStyle w:val="newncpi"/>
      </w:pPr>
      <w:r>
        <w:t>виды реализуемой продукции общественного питания (для передвижного объекта общественного питания – при необходимости);</w:t>
      </w:r>
    </w:p>
    <w:p w:rsidR="00D07793" w:rsidRDefault="00D07793">
      <w:pPr>
        <w:pStyle w:val="newncpi"/>
      </w:pPr>
      <w:r>
        <w:t>требования к внешнему виду и размеру передвижного объекта, к типу транспортного средства, используемого для продажи товаров, осуществления общественного питания, установленные местным исполнительным и распорядительным органом (если таковые установлены).</w:t>
      </w:r>
    </w:p>
    <w:p w:rsidR="00D07793" w:rsidRDefault="00D07793">
      <w:pPr>
        <w:pStyle w:val="point"/>
      </w:pPr>
      <w:r>
        <w:t>13. К перечням может прилагаться графическая схема (карта территории), на которой отображены границы мест размещения нестационарных объектов, маршруты движения передвижных объектов с привязкой к существующим капитальным зданиям и сооружениям либо указаны кадастровые номера земельных участков, на которых размещаются нестационарные объекты.</w:t>
      </w:r>
    </w:p>
    <w:p w:rsidR="00D07793" w:rsidRDefault="00D07793">
      <w:pPr>
        <w:pStyle w:val="newncpi"/>
      </w:pPr>
      <w:r>
        <w:t> </w:t>
      </w:r>
    </w:p>
    <w:p w:rsidR="00130E72" w:rsidRDefault="00130E72"/>
    <w:sectPr w:rsidR="00130E72" w:rsidSect="00D07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7793" w:rsidRDefault="00D07793" w:rsidP="00D07793">
      <w:pPr>
        <w:spacing w:after="0" w:line="240" w:lineRule="auto"/>
      </w:pPr>
      <w:r>
        <w:separator/>
      </w:r>
    </w:p>
  </w:endnote>
  <w:endnote w:type="continuationSeparator" w:id="0">
    <w:p w:rsidR="00D07793" w:rsidRDefault="00D07793" w:rsidP="00D0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793" w:rsidRDefault="00D077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793" w:rsidRDefault="00D077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07793" w:rsidTr="00D07793">
      <w:tc>
        <w:tcPr>
          <w:tcW w:w="1800" w:type="dxa"/>
          <w:shd w:val="clear" w:color="auto" w:fill="auto"/>
          <w:vAlign w:val="center"/>
        </w:tcPr>
        <w:p w:rsidR="00D07793" w:rsidRDefault="00D07793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07793" w:rsidRDefault="00D077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07793" w:rsidRDefault="00D077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17.12.2025</w:t>
          </w:r>
        </w:p>
        <w:p w:rsidR="00D07793" w:rsidRDefault="00D077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07793" w:rsidRPr="00D07793" w:rsidRDefault="00D077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07793" w:rsidRDefault="00D07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7793" w:rsidRDefault="00D07793" w:rsidP="00D07793">
      <w:pPr>
        <w:spacing w:after="0" w:line="240" w:lineRule="auto"/>
      </w:pPr>
      <w:r>
        <w:separator/>
      </w:r>
    </w:p>
  </w:footnote>
  <w:footnote w:type="continuationSeparator" w:id="0">
    <w:p w:rsidR="00D07793" w:rsidRDefault="00D07793" w:rsidP="00D0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793" w:rsidRDefault="00D07793" w:rsidP="00CB31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07793" w:rsidRDefault="00D07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793" w:rsidRPr="00D07793" w:rsidRDefault="00D07793" w:rsidP="00CB310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07793">
      <w:rPr>
        <w:rStyle w:val="a7"/>
        <w:rFonts w:ascii="Times New Roman" w:hAnsi="Times New Roman" w:cs="Times New Roman"/>
        <w:sz w:val="24"/>
      </w:rPr>
      <w:fldChar w:fldCharType="begin"/>
    </w:r>
    <w:r w:rsidRPr="00D07793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07793">
      <w:rPr>
        <w:rStyle w:val="a7"/>
        <w:rFonts w:ascii="Times New Roman" w:hAnsi="Times New Roman" w:cs="Times New Roman"/>
        <w:sz w:val="24"/>
      </w:rPr>
      <w:fldChar w:fldCharType="separate"/>
    </w:r>
    <w:r w:rsidRPr="00D07793">
      <w:rPr>
        <w:rStyle w:val="a7"/>
        <w:rFonts w:ascii="Times New Roman" w:hAnsi="Times New Roman" w:cs="Times New Roman"/>
        <w:noProof/>
        <w:sz w:val="24"/>
      </w:rPr>
      <w:t>4</w:t>
    </w:r>
    <w:r w:rsidRPr="00D07793">
      <w:rPr>
        <w:rStyle w:val="a7"/>
        <w:rFonts w:ascii="Times New Roman" w:hAnsi="Times New Roman" w:cs="Times New Roman"/>
        <w:sz w:val="24"/>
      </w:rPr>
      <w:fldChar w:fldCharType="end"/>
    </w:r>
  </w:p>
  <w:p w:rsidR="00D07793" w:rsidRPr="00D07793" w:rsidRDefault="00D0779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793" w:rsidRDefault="00D07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93"/>
    <w:rsid w:val="00130E72"/>
    <w:rsid w:val="00D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3F848-B5A3-4F0A-9598-4878E8EA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0779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077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D0779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07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07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07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0779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0779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077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0779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07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779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0779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0779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0779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0779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077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0779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0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793"/>
  </w:style>
  <w:style w:type="paragraph" w:styleId="a5">
    <w:name w:val="footer"/>
    <w:basedOn w:val="a"/>
    <w:link w:val="a6"/>
    <w:uiPriority w:val="99"/>
    <w:unhideWhenUsed/>
    <w:rsid w:val="00D0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793"/>
  </w:style>
  <w:style w:type="character" w:styleId="a7">
    <w:name w:val="page number"/>
    <w:basedOn w:val="a0"/>
    <w:uiPriority w:val="99"/>
    <w:semiHidden/>
    <w:unhideWhenUsed/>
    <w:rsid w:val="00D07793"/>
  </w:style>
  <w:style w:type="table" w:styleId="a8">
    <w:name w:val="Table Grid"/>
    <w:basedOn w:val="a1"/>
    <w:uiPriority w:val="39"/>
    <w:rsid w:val="00D0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9112</Characters>
  <Application>Microsoft Office Word</Application>
  <DocSecurity>0</DocSecurity>
  <Lines>178</Lines>
  <Paragraphs>81</Paragraphs>
  <ScaleCrop>false</ScaleCrop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Куканькова Елена Геннадьевна</dc:creator>
  <cp:keywords/>
  <dc:description/>
  <cp:lastModifiedBy>Куканькова Елена Геннадьевна</cp:lastModifiedBy>
  <cp:revision>1</cp:revision>
  <dcterms:created xsi:type="dcterms:W3CDTF">2025-12-17T08:52:00Z</dcterms:created>
  <dcterms:modified xsi:type="dcterms:W3CDTF">2025-12-17T08:53:00Z</dcterms:modified>
</cp:coreProperties>
</file>