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bookmarkStart w:id="0" w:name="_GoBack"/>
            <w:bookmarkEnd w:id="0"/>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19FAB11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r>
        <w:rPr>
          <w:b/>
          <w:bCs/>
        </w:rPr>
        <w:t>адкрытага акцыянернага таварыства</w:t>
      </w:r>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(назва)</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lastRenderedPageBreak/>
        <w:t>путем преобразования</w:t>
      </w:r>
      <w:r w:rsidR="00D2097B" w:rsidRPr="00F45E8B">
        <w:t xml:space="preserve"> государственного</w:t>
      </w:r>
      <w:r w:rsidR="00A466A5" w:rsidRPr="00F45E8B">
        <w:t>(ых)</w:t>
      </w:r>
      <w:r w:rsidRPr="00F45E8B">
        <w:t xml:space="preserve"> унитарного</w:t>
      </w:r>
      <w:r w:rsidR="00A466A5" w:rsidRPr="00F45E8B">
        <w:t>(ых)</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государственного(ых) унитарного(ых)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унитарного(ых) предприятия(ий)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полное: адкрытае акцыянернае таварыства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1" w:name="_Hlk157417357"/>
      <w:r w:rsidRPr="005D728F">
        <w:t>лицензии, специального разрешения (лицензии) либо при условии включения в специальный реестр.</w:t>
      </w:r>
    </w:p>
    <w:bookmarkEnd w:id="1"/>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учредителем(ями)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6B60A9">
        <w:rPr>
          <w:rFonts w:ascii="Times New Roman" w:hAnsi="Times New Roman" w:cs="Times New Roman"/>
          <w:sz w:val="24"/>
          <w:szCs w:val="24"/>
          <w:u w:val="single"/>
        </w:rPr>
        <w:t xml:space="preserve">место </w:t>
      </w:r>
      <w:r w:rsidR="005B253F" w:rsidRPr="006B60A9">
        <w:rPr>
          <w:rFonts w:ascii="Times New Roman" w:hAnsi="Times New Roman" w:cs="Times New Roman"/>
          <w:sz w:val="24"/>
          <w:szCs w:val="24"/>
          <w:u w:val="single"/>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6B60A9">
        <w:rPr>
          <w:rFonts w:ascii="Times New Roman" w:hAnsi="Times New Roman" w:cs="Times New Roman"/>
          <w:sz w:val="24"/>
          <w:szCs w:val="24"/>
          <w:u w:val="single"/>
        </w:rPr>
        <w:t>место</w:t>
      </w:r>
      <w:r w:rsidR="00DD3B7D" w:rsidRPr="006B60A9">
        <w:rPr>
          <w:rFonts w:ascii="Times New Roman" w:hAnsi="Times New Roman" w:cs="Times New Roman"/>
          <w:sz w:val="24"/>
          <w:szCs w:val="24"/>
          <w:u w:val="single"/>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(способ отправки</w:t>
      </w: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467793">
        <w:rPr>
          <w:u w:val="single"/>
        </w:rPr>
        <w:t>место</w:t>
      </w:r>
      <w:r w:rsidR="00140F46" w:rsidRPr="00467793">
        <w:rPr>
          <w:u w:val="single"/>
        </w:rPr>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42C3A75C"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 или индивидуальному предпринимателю (управляющему);</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77777777"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 (управляющего);</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ючаться вопрос с наименованием ”</w:t>
      </w:r>
      <w:r>
        <w:t>Разное</w:t>
      </w:r>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словами </w:t>
      </w:r>
      <w:r w:rsidR="00045DC9">
        <w:t>”</w:t>
      </w:r>
      <w:r>
        <w:t>за</w:t>
      </w:r>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r>
        <w:t>ых</w:t>
      </w:r>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7777777"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или управляющий,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ров осуществляется по принципу ”</w:t>
      </w:r>
      <w:r w:rsidR="00FE5696">
        <w:t>одна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а также об уполномочивании акционеров на взыскание в судебном порядке убытков, причиненных Обществу виновными действиями (бездействием) членов органов Общества</w:t>
      </w:r>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сделки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423A538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(управляющим)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незаконсервированных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0D74E7D2"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 (управляющего);</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r w:rsidR="00F950FC" w:rsidRPr="00E14E79">
        <w:t>– ”независимый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996E08">
        <w:rPr>
          <w:u w:val="single"/>
        </w:rPr>
        <w:t>может</w:t>
      </w:r>
      <w:r w:rsidR="009E412B" w:rsidRPr="00996E08">
        <w:rPr>
          <w:u w:val="single"/>
        </w:rPr>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дает согласие на использование членами наблюдательного совета и приглашенными лицами в зале заседаний кино-, видео- и фотосъемочной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Председатель наблюдательного совета либо иной уполномоченный член наблюдательного совета вправе присутствовать на заседаниях коллегиального 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77777777"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996E08" w:rsidRDefault="00C62440" w:rsidP="00C62440">
      <w:pPr>
        <w:pStyle w:val="point"/>
        <w:rPr>
          <w:u w:val="single"/>
        </w:rPr>
      </w:pPr>
      <w:r w:rsidRPr="00996E08">
        <w:rPr>
          <w:u w:val="single"/>
        </w:rPr>
        <w:t>Датой составления протокола заседания наблюдательного совета (датой принятия решения) является:</w:t>
      </w:r>
    </w:p>
    <w:p w14:paraId="21EED52A" w14:textId="77777777" w:rsidR="00C62440" w:rsidRPr="00996E08" w:rsidRDefault="00C62440" w:rsidP="00C62440">
      <w:pPr>
        <w:pStyle w:val="point"/>
        <w:rPr>
          <w:u w:val="single"/>
        </w:rPr>
      </w:pPr>
      <w:r w:rsidRPr="00996E08">
        <w:rPr>
          <w:u w:val="single"/>
        </w:rPr>
        <w:t>дата проведения заседания наблюдательного совета в очной форме;</w:t>
      </w:r>
    </w:p>
    <w:p w14:paraId="627475FC" w14:textId="77777777" w:rsidR="00C62440" w:rsidRPr="00996E08" w:rsidRDefault="00C62440" w:rsidP="00C62440">
      <w:pPr>
        <w:pStyle w:val="point"/>
        <w:rPr>
          <w:u w:val="single"/>
        </w:rPr>
      </w:pPr>
      <w:r w:rsidRPr="00996E08">
        <w:rPr>
          <w:u w:val="single"/>
        </w:rPr>
        <w:t>дата окончания приема опросных листов в случае принятия решения наблюдательного совета методом опроса.</w:t>
      </w:r>
    </w:p>
    <w:p w14:paraId="7FE0ED75" w14:textId="16D65D03" w:rsidR="00C62440" w:rsidRPr="00996E08" w:rsidRDefault="00C62440" w:rsidP="00C62440">
      <w:pPr>
        <w:pStyle w:val="point"/>
        <w:rPr>
          <w:u w:val="single"/>
        </w:rPr>
      </w:pPr>
      <w:r w:rsidRPr="00996E08">
        <w:rPr>
          <w:u w:val="single"/>
        </w:rPr>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7777777" w:rsidR="00E2080B" w:rsidRDefault="00EA794D" w:rsidP="00CE6CA5">
      <w:pPr>
        <w:pStyle w:val="point"/>
      </w:pPr>
      <w:r>
        <w:t>64</w:t>
      </w:r>
      <w:r w:rsidR="00CE6CA5" w:rsidRPr="009C260A">
        <w:t xml:space="preserve">. 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794906">
        <w:rPr>
          <w:rFonts w:ascii="Times New Roman" w:hAnsi="Times New Roman" w:cs="Times New Roman"/>
          <w:sz w:val="24"/>
          <w:szCs w:val="24"/>
          <w:u w:val="single"/>
        </w:rPr>
        <w:t>место</w:t>
      </w:r>
      <w:r w:rsidR="00D74B95" w:rsidRPr="00794906">
        <w:rPr>
          <w:rFonts w:ascii="Times New Roman" w:hAnsi="Times New Roman" w:cs="Times New Roman"/>
          <w:sz w:val="24"/>
          <w:szCs w:val="24"/>
          <w:u w:val="single"/>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3852C8"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794906">
        <w:rPr>
          <w:u w:val="single"/>
        </w:rPr>
        <w:t>предусмотренных</w:t>
      </w:r>
      <w:r w:rsidR="00062F66">
        <w:t xml:space="preserve"> </w:t>
      </w:r>
      <w:r w:rsidR="00FE5696" w:rsidRPr="003852C8">
        <w:t xml:space="preserve">законодательными актами, – по решению уполномоченных государственных органов, в том числе суда. Реорганизация </w:t>
      </w:r>
      <w:r w:rsidR="00FD6FA8" w:rsidRPr="003852C8">
        <w:t>Общества может быть осуществлена в форме слияния, присоединения, разделения, выделения, преобразования.</w:t>
      </w:r>
    </w:p>
    <w:p w14:paraId="558F3FB9" w14:textId="77777777" w:rsidR="00FE5696" w:rsidRPr="003852C8" w:rsidRDefault="00FE5696">
      <w:pPr>
        <w:pStyle w:val="newncpi"/>
      </w:pPr>
      <w:r w:rsidRPr="003852C8">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794906" w:rsidRDefault="00906D71" w:rsidP="00813A3D">
      <w:pPr>
        <w:pStyle w:val="point"/>
        <w:rPr>
          <w:u w:val="single"/>
        </w:rPr>
      </w:pPr>
      <w:r w:rsidRPr="00794906">
        <w:rPr>
          <w:u w:val="single"/>
        </w:rPr>
        <w:t xml:space="preserve">88. </w:t>
      </w:r>
      <w:r w:rsidR="00813A3D" w:rsidRPr="00794906">
        <w:rPr>
          <w:u w:val="single"/>
        </w:rPr>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794906" w:rsidRDefault="00065BA1">
      <w:pPr>
        <w:pStyle w:val="point"/>
        <w:rPr>
          <w:strike/>
          <w:u w:val="single"/>
        </w:rPr>
      </w:pPr>
      <w:r w:rsidRPr="00794906">
        <w:rPr>
          <w:u w:val="single"/>
        </w:rPr>
        <w:t>89</w:t>
      </w:r>
      <w:r w:rsidR="00FE5696" w:rsidRPr="00794906">
        <w:rPr>
          <w:u w:val="single"/>
        </w:rPr>
        <w:t>. Общество считается реорганизованным</w:t>
      </w:r>
      <w:r w:rsidR="002E798D" w:rsidRPr="00794906">
        <w:rPr>
          <w:u w:val="single"/>
        </w:rPr>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3852C8" w:rsidRDefault="00FE5696">
      <w:pPr>
        <w:pStyle w:val="newncpi"/>
        <w:rPr>
          <w:spacing w:val="-2"/>
        </w:rPr>
      </w:pPr>
      <w:r w:rsidRPr="003852C8">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3852C8">
        <w:rPr>
          <w:spacing w:val="-2"/>
        </w:rPr>
        <w:t xml:space="preserve"> (далее</w:t>
      </w:r>
      <w:r w:rsidR="005006A4" w:rsidRPr="003852C8">
        <w:rPr>
          <w:spacing w:val="-2"/>
        </w:rPr>
        <w:t xml:space="preserve"> – </w:t>
      </w:r>
      <w:r w:rsidR="004872FC" w:rsidRPr="003852C8">
        <w:rPr>
          <w:spacing w:val="-2"/>
        </w:rPr>
        <w:t>Единый</w:t>
      </w:r>
      <w:r w:rsidR="005006A4" w:rsidRPr="003852C8">
        <w:rPr>
          <w:spacing w:val="-2"/>
        </w:rPr>
        <w:t xml:space="preserve"> </w:t>
      </w:r>
      <w:r w:rsidR="004872FC" w:rsidRPr="003852C8">
        <w:rPr>
          <w:spacing w:val="-2"/>
        </w:rPr>
        <w:t>регистр)</w:t>
      </w:r>
      <w:r w:rsidRPr="003852C8">
        <w:rPr>
          <w:spacing w:val="-2"/>
        </w:rPr>
        <w:t xml:space="preserve"> записи о прекращении деятельности присоединенного юридического лица.</w:t>
      </w:r>
    </w:p>
    <w:p w14:paraId="0BA3D9C7" w14:textId="56F47B46" w:rsidR="002E798D" w:rsidRPr="00794906" w:rsidRDefault="002E798D">
      <w:pPr>
        <w:pStyle w:val="point"/>
        <w:rPr>
          <w:u w:val="single"/>
        </w:rPr>
      </w:pPr>
      <w:r w:rsidRPr="00794906">
        <w:rPr>
          <w:u w:val="single"/>
        </w:rPr>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794906">
        <w:rPr>
          <w:u w:val="single"/>
        </w:rPr>
        <w:t>устав Общества</w:t>
      </w:r>
      <w:r w:rsidRPr="00794906">
        <w:rPr>
          <w:u w:val="single"/>
        </w:rPr>
        <w:t xml:space="preserve"> в связи с его реорганизацией.</w:t>
      </w:r>
    </w:p>
    <w:p w14:paraId="706D0119" w14:textId="353BA4BB" w:rsidR="00FE5696" w:rsidRPr="00794906" w:rsidRDefault="00065BA1">
      <w:pPr>
        <w:pStyle w:val="point"/>
        <w:rPr>
          <w:u w:val="single"/>
        </w:rPr>
      </w:pPr>
      <w:r w:rsidRPr="00794906">
        <w:rPr>
          <w:u w:val="single"/>
        </w:rPr>
        <w:t>90</w:t>
      </w:r>
      <w:r w:rsidR="00FE5696" w:rsidRPr="00794906">
        <w:rPr>
          <w:u w:val="single"/>
        </w:rPr>
        <w:t xml:space="preserve">. Общество может быть ликвидировано по решению общего собрания акционеров, а в случаях, </w:t>
      </w:r>
      <w:r w:rsidR="006530D4" w:rsidRPr="00794906">
        <w:rPr>
          <w:u w:val="single"/>
        </w:rPr>
        <w:t xml:space="preserve">предусмотренных </w:t>
      </w:r>
      <w:r w:rsidR="00FE5696" w:rsidRPr="00794906">
        <w:rPr>
          <w:u w:val="single"/>
        </w:rPr>
        <w:t>законодательными актами, –</w:t>
      </w:r>
      <w:r w:rsidR="00042794" w:rsidRPr="00794906">
        <w:rPr>
          <w:u w:val="single"/>
        </w:rPr>
        <w:t xml:space="preserve"> </w:t>
      </w:r>
      <w:r w:rsidR="00C57C30" w:rsidRPr="00794906">
        <w:rPr>
          <w:u w:val="single"/>
        </w:rPr>
        <w:t>по решению суда</w:t>
      </w:r>
      <w:r w:rsidR="00F40570" w:rsidRPr="00794906">
        <w:rPr>
          <w:u w:val="single"/>
        </w:rPr>
        <w:t xml:space="preserve"> или иных органов</w:t>
      </w:r>
      <w:r w:rsidR="00FE5696" w:rsidRPr="00794906">
        <w:rPr>
          <w:u w:val="single"/>
        </w:rPr>
        <w:t>.</w:t>
      </w:r>
    </w:p>
    <w:p w14:paraId="20D016BE" w14:textId="4A704308" w:rsidR="00FE5696" w:rsidRPr="00794906" w:rsidRDefault="00FE5696" w:rsidP="00CD5076">
      <w:pPr>
        <w:pStyle w:val="newncpi"/>
        <w:rPr>
          <w:u w:val="single"/>
        </w:rPr>
      </w:pPr>
      <w:r w:rsidRPr="00794906">
        <w:rPr>
          <w:u w:val="single"/>
        </w:rPr>
        <w:t xml:space="preserve">Общее собрание акционеров, принявшее решение о ликвидации Общества, назначает </w:t>
      </w:r>
      <w:r w:rsidR="008A0C1E" w:rsidRPr="00794906">
        <w:rPr>
          <w:u w:val="single"/>
        </w:rPr>
        <w:t xml:space="preserve">  </w:t>
      </w:r>
      <w:r w:rsidRPr="00794906">
        <w:rPr>
          <w:u w:val="single"/>
        </w:rPr>
        <w:t xml:space="preserve">ликвидационную </w:t>
      </w:r>
      <w:r w:rsidR="008A0C1E" w:rsidRPr="00794906">
        <w:rPr>
          <w:u w:val="single"/>
        </w:rPr>
        <w:t xml:space="preserve">  </w:t>
      </w:r>
      <w:r w:rsidRPr="00794906">
        <w:rPr>
          <w:u w:val="single"/>
        </w:rPr>
        <w:t>комиссию</w:t>
      </w:r>
      <w:r w:rsidR="008A0C1E" w:rsidRPr="00794906">
        <w:rPr>
          <w:u w:val="single"/>
        </w:rPr>
        <w:t xml:space="preserve"> </w:t>
      </w:r>
      <w:r w:rsidRPr="00794906">
        <w:rPr>
          <w:u w:val="single"/>
        </w:rPr>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794906">
        <w:rPr>
          <w:u w:val="single"/>
        </w:rPr>
        <w:t xml:space="preserve">, </w:t>
      </w:r>
      <w:r w:rsidRPr="00794906">
        <w:rPr>
          <w:u w:val="single"/>
        </w:rPr>
        <w:t>устанавливает порядок и сроки ликвидации Общества</w:t>
      </w:r>
      <w:r w:rsidR="005360A5" w:rsidRPr="00794906">
        <w:rPr>
          <w:u w:val="single"/>
        </w:rPr>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794906">
        <w:rPr>
          <w:u w:val="single"/>
        </w:rPr>
        <w:t>Общества</w:t>
      </w:r>
      <w:r w:rsidR="005360A5" w:rsidRPr="00794906">
        <w:rPr>
          <w:u w:val="single"/>
        </w:rPr>
        <w:t>.</w:t>
      </w:r>
    </w:p>
    <w:p w14:paraId="0447D26A" w14:textId="6104E5F0" w:rsidR="00927971" w:rsidRPr="00794906" w:rsidRDefault="00927971">
      <w:pPr>
        <w:pStyle w:val="newncpi"/>
        <w:rPr>
          <w:u w:val="single"/>
        </w:rPr>
      </w:pPr>
      <w:r w:rsidRPr="00794906">
        <w:rPr>
          <w:u w:val="single"/>
        </w:rPr>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794906" w:rsidRDefault="00927971">
      <w:pPr>
        <w:pStyle w:val="newncpi"/>
        <w:rPr>
          <w:u w:val="single"/>
        </w:rPr>
      </w:pPr>
      <w:r w:rsidRPr="00794906">
        <w:rPr>
          <w:u w:val="single"/>
        </w:rPr>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67B04C7B"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794906">
        <w:rPr>
          <w:u w:val="single"/>
        </w:rPr>
        <w:t xml:space="preserve">Общества </w:t>
      </w:r>
      <w:r w:rsidR="00FE5696" w:rsidRPr="003852C8">
        <w:t>из этого регистра.</w:t>
      </w:r>
    </w:p>
    <w:sectPr w:rsidR="00FE5696" w:rsidRPr="003852C8" w:rsidSect="00FC54BD">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D851C" w14:textId="77777777" w:rsidR="00E37231" w:rsidRDefault="00E37231" w:rsidP="00B552D1">
      <w:pPr>
        <w:spacing w:after="0" w:line="240" w:lineRule="auto"/>
      </w:pPr>
      <w:r>
        <w:separator/>
      </w:r>
    </w:p>
  </w:endnote>
  <w:endnote w:type="continuationSeparator" w:id="0">
    <w:p w14:paraId="6C8D5046" w14:textId="77777777" w:rsidR="00E37231" w:rsidRDefault="00E37231"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27A42" w14:textId="77777777" w:rsidR="00E37231" w:rsidRDefault="00E37231" w:rsidP="00B552D1">
      <w:pPr>
        <w:spacing w:after="0" w:line="240" w:lineRule="auto"/>
      </w:pPr>
      <w:r>
        <w:separator/>
      </w:r>
    </w:p>
  </w:footnote>
  <w:footnote w:type="continuationSeparator" w:id="0">
    <w:p w14:paraId="6DEED6BE" w14:textId="77777777" w:rsidR="00E37231" w:rsidRDefault="00E37231"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государственного(ых) унитарного(ых)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унитарного(ых) предприятия(ий).</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государственной  регистрации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2020-XII</w:t>
      </w:r>
      <w:r w:rsidR="00A02284">
        <w:rPr>
          <w:sz w:val="20"/>
          <w:szCs w:val="20"/>
        </w:rPr>
        <w:t xml:space="preserve"> </w:t>
      </w:r>
      <w:r w:rsidRPr="00AD07E1">
        <w:rPr>
          <w:sz w:val="20"/>
          <w:szCs w:val="20"/>
        </w:rPr>
        <w:t>”О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467793" w:rsidRDefault="00DD5A88" w:rsidP="0089260C">
      <w:pPr>
        <w:pStyle w:val="af"/>
        <w:ind w:firstLine="709"/>
        <w:jc w:val="both"/>
        <w:rPr>
          <w:rFonts w:ascii="Times New Roman" w:hAnsi="Times New Roman" w:cs="Times New Roman"/>
          <w:u w:val="single"/>
        </w:rPr>
      </w:pPr>
      <w:r w:rsidRPr="00467793">
        <w:rPr>
          <w:rStyle w:val="af1"/>
          <w:rFonts w:ascii="Times New Roman" w:hAnsi="Times New Roman" w:cs="Times New Roman"/>
          <w:u w:val="single"/>
        </w:rPr>
        <w:sym w:font="Symbol" w:char="F02A"/>
      </w:r>
      <w:r w:rsidRPr="00467793">
        <w:rPr>
          <w:rStyle w:val="af1"/>
          <w:rFonts w:ascii="Times New Roman" w:hAnsi="Times New Roman" w:cs="Times New Roman"/>
          <w:u w:val="single"/>
        </w:rPr>
        <w:sym w:font="Symbol" w:char="F02A"/>
      </w:r>
      <w:r w:rsidRPr="00467793">
        <w:rPr>
          <w:rStyle w:val="af1"/>
          <w:rFonts w:ascii="Times New Roman" w:hAnsi="Times New Roman" w:cs="Times New Roman"/>
          <w:u w:val="single"/>
        </w:rPr>
        <w:sym w:font="Symbol" w:char="F02A"/>
      </w:r>
      <w:r w:rsidR="000C12FA" w:rsidRPr="00467793">
        <w:rPr>
          <w:rFonts w:ascii="Times New Roman" w:hAnsi="Times New Roman" w:cs="Times New Roman"/>
          <w:u w:val="single"/>
        </w:rPr>
        <w:t> </w:t>
      </w:r>
      <w:r w:rsidR="00F66177" w:rsidRPr="00467793">
        <w:rPr>
          <w:rFonts w:ascii="Times New Roman" w:hAnsi="Times New Roman" w:cs="Times New Roman"/>
          <w:u w:val="single"/>
        </w:rPr>
        <w:t xml:space="preserve">Вместо </w:t>
      </w:r>
      <w:r w:rsidR="009122E3" w:rsidRPr="00467793">
        <w:rPr>
          <w:rFonts w:ascii="Times New Roman" w:hAnsi="Times New Roman" w:cs="Times New Roman"/>
          <w:u w:val="single"/>
        </w:rPr>
        <w:t xml:space="preserve">утверждения </w:t>
      </w:r>
      <w:r w:rsidR="00F66177" w:rsidRPr="00467793">
        <w:rPr>
          <w:rFonts w:ascii="Times New Roman" w:hAnsi="Times New Roman" w:cs="Times New Roman"/>
          <w:u w:val="single"/>
        </w:rPr>
        <w:t>годового финансово-хозяйственного плана у</w:t>
      </w:r>
      <w:r w:rsidRPr="00467793">
        <w:rPr>
          <w:rFonts w:ascii="Times New Roman" w:hAnsi="Times New Roman" w:cs="Times New Roman"/>
          <w:u w:val="single"/>
        </w:rPr>
        <w:t xml:space="preserve">ставом может быть предусмотрено </w:t>
      </w:r>
      <w:r w:rsidR="0068621F" w:rsidRPr="00467793">
        <w:rPr>
          <w:rFonts w:ascii="Times New Roman" w:hAnsi="Times New Roman" w:cs="Times New Roman"/>
          <w:u w:val="single"/>
        </w:rPr>
        <w:t xml:space="preserve">отнесение к компетенции наблюдательного совета утверждение бизнес-плана </w:t>
      </w:r>
      <w:r w:rsidR="0001748D" w:rsidRPr="00467793">
        <w:rPr>
          <w:rFonts w:ascii="Times New Roman" w:hAnsi="Times New Roman" w:cs="Times New Roman"/>
          <w:u w:val="single"/>
        </w:rPr>
        <w:t xml:space="preserve">развития </w:t>
      </w:r>
      <w:r w:rsidR="0068621F" w:rsidRPr="00467793">
        <w:rPr>
          <w:rFonts w:ascii="Times New Roman" w:hAnsi="Times New Roman" w:cs="Times New Roman"/>
          <w:u w:val="single"/>
        </w:rPr>
        <w:t>и</w:t>
      </w:r>
      <w:r w:rsidR="00772CCD" w:rsidRPr="00467793">
        <w:rPr>
          <w:rFonts w:ascii="Times New Roman" w:hAnsi="Times New Roman" w:cs="Times New Roman"/>
          <w:u w:val="single"/>
        </w:rPr>
        <w:t xml:space="preserve"> (или)</w:t>
      </w:r>
      <w:r w:rsidR="0068621F" w:rsidRPr="00467793">
        <w:rPr>
          <w:rFonts w:ascii="Times New Roman" w:hAnsi="Times New Roman" w:cs="Times New Roman"/>
          <w:u w:val="single"/>
        </w:rPr>
        <w:t xml:space="preserve"> прогноза развития</w:t>
      </w:r>
      <w:r w:rsidR="00297D9C" w:rsidRPr="00467793">
        <w:rPr>
          <w:rFonts w:ascii="Times New Roman" w:hAnsi="Times New Roman" w:cs="Times New Roman"/>
          <w:u w:val="single"/>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467793">
        <w:rPr>
          <w:rFonts w:ascii="Times New Roman" w:hAnsi="Times New Roman" w:cs="Times New Roman"/>
          <w:u w:val="single"/>
        </w:rPr>
        <w:t>8 августа 2005 г. № 873</w:t>
      </w:r>
      <w:r w:rsidR="0001748D" w:rsidRPr="00467793">
        <w:rPr>
          <w:rFonts w:ascii="Times New Roman" w:hAnsi="Times New Roman" w:cs="Times New Roman"/>
          <w:u w:val="single"/>
        </w:rPr>
        <w:t xml:space="preserve"> </w:t>
      </w:r>
      <w:r w:rsidR="0089260C" w:rsidRPr="00467793">
        <w:rPr>
          <w:rFonts w:ascii="Times New Roman" w:hAnsi="Times New Roman" w:cs="Times New Roman"/>
          <w:u w:val="single"/>
        </w:rPr>
        <w:t>”О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Уставом  могут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996E08" w:rsidRDefault="00644F5E" w:rsidP="00644F5E">
      <w:pPr>
        <w:pStyle w:val="af"/>
        <w:ind w:firstLine="567"/>
        <w:jc w:val="both"/>
        <w:rPr>
          <w:rFonts w:ascii="Times New Roman" w:hAnsi="Times New Roman" w:cs="Times New Roman"/>
          <w:u w:val="single"/>
        </w:rPr>
      </w:pP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Fonts w:ascii="Times New Roman" w:hAnsi="Times New Roman" w:cs="Times New Roman"/>
        </w:rPr>
        <w:t xml:space="preserve"> </w:t>
      </w:r>
      <w:r w:rsidRPr="00996E08">
        <w:rPr>
          <w:rFonts w:ascii="Times New Roman" w:hAnsi="Times New Roman" w:cs="Times New Roman"/>
          <w:u w:val="single"/>
        </w:rPr>
        <w:t xml:space="preserve">Уставом Общества может быть предусмотрена обязательность </w:t>
      </w:r>
      <w:r w:rsidR="00F71846" w:rsidRPr="00996E08">
        <w:rPr>
          <w:rFonts w:ascii="Times New Roman" w:hAnsi="Times New Roman" w:cs="Times New Roman"/>
          <w:u w:val="single"/>
        </w:rPr>
        <w:t xml:space="preserve">включения </w:t>
      </w:r>
      <w:r w:rsidRPr="00996E08">
        <w:rPr>
          <w:rFonts w:ascii="Times New Roman" w:hAnsi="Times New Roman" w:cs="Times New Roman"/>
          <w:u w:val="single"/>
        </w:rPr>
        <w:t xml:space="preserve">в состав наблюдательного совета представителя работников </w:t>
      </w:r>
      <w:r w:rsidR="00F71846" w:rsidRPr="00996E08">
        <w:rPr>
          <w:rFonts w:ascii="Times New Roman" w:hAnsi="Times New Roman" w:cs="Times New Roman"/>
          <w:u w:val="single"/>
        </w:rPr>
        <w:t>и (</w:t>
      </w:r>
      <w:r w:rsidRPr="00996E08">
        <w:rPr>
          <w:rFonts w:ascii="Times New Roman" w:hAnsi="Times New Roman" w:cs="Times New Roman"/>
          <w:u w:val="single"/>
        </w:rPr>
        <w:t>или</w:t>
      </w:r>
      <w:r w:rsidR="00F71846" w:rsidRPr="00996E08">
        <w:rPr>
          <w:rFonts w:ascii="Times New Roman" w:hAnsi="Times New Roman" w:cs="Times New Roman"/>
          <w:u w:val="single"/>
        </w:rPr>
        <w:t>)</w:t>
      </w:r>
      <w:r w:rsidRPr="00996E08">
        <w:rPr>
          <w:rFonts w:ascii="Times New Roman" w:hAnsi="Times New Roman" w:cs="Times New Roman"/>
          <w:u w:val="single"/>
        </w:rPr>
        <w:t xml:space="preserve"> профессионального союза Общества</w:t>
      </w:r>
      <w:r w:rsidR="00F71846" w:rsidRPr="00996E08">
        <w:rPr>
          <w:rFonts w:ascii="Times New Roman" w:hAnsi="Times New Roman" w:cs="Times New Roman"/>
          <w:u w:val="single"/>
        </w:rPr>
        <w:t xml:space="preserve"> (в этом случае </w:t>
      </w:r>
      <w:r w:rsidR="000722D6" w:rsidRPr="00996E08">
        <w:rPr>
          <w:rFonts w:ascii="Times New Roman" w:hAnsi="Times New Roman" w:cs="Times New Roman"/>
          <w:u w:val="single"/>
        </w:rPr>
        <w:t>у</w:t>
      </w:r>
      <w:r w:rsidR="00F71846" w:rsidRPr="00996E08">
        <w:rPr>
          <w:rFonts w:ascii="Times New Roman" w:hAnsi="Times New Roman" w:cs="Times New Roman"/>
          <w:u w:val="single"/>
        </w:rPr>
        <w:t xml:space="preserve">ставом или локальным правовым актом Общества, утверждаемым общим собранием </w:t>
      </w:r>
      <w:r w:rsidR="00654A1B" w:rsidRPr="00996E08">
        <w:rPr>
          <w:rFonts w:ascii="Times New Roman" w:hAnsi="Times New Roman" w:cs="Times New Roman"/>
          <w:u w:val="single"/>
        </w:rPr>
        <w:t>акционеров</w:t>
      </w:r>
      <w:r w:rsidR="00F71846" w:rsidRPr="00996E08">
        <w:rPr>
          <w:rFonts w:ascii="Times New Roman" w:hAnsi="Times New Roman" w:cs="Times New Roman"/>
          <w:u w:val="single"/>
        </w:rPr>
        <w:t>, должен быть определен порядок включения в состав наблюдательного совета представителя работников и (или) профессионального союза)</w:t>
      </w:r>
      <w:r w:rsidRPr="00996E08">
        <w:rPr>
          <w:rFonts w:ascii="Times New Roman" w:hAnsi="Times New Roman" w:cs="Times New Roman"/>
          <w:u w:val="single"/>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r w:rsidRPr="004C4D7F">
        <w:rPr>
          <w:sz w:val="20"/>
          <w:szCs w:val="20"/>
        </w:rPr>
        <w:t>Уставом  может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2"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2"/>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605036"/>
      <w:docPartObj>
        <w:docPartGallery w:val="Page Numbers (Top of Page)"/>
        <w:docPartUnique/>
      </w:docPartObj>
    </w:sdtPr>
    <w:sdtEndPr>
      <w:rPr>
        <w:rFonts w:ascii="Times New Roman" w:hAnsi="Times New Roman" w:cs="Times New Roman"/>
      </w:rPr>
    </w:sdtEndPr>
    <w:sdtContent>
      <w:p w14:paraId="4355D27E" w14:textId="71E675B2"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3F3774">
          <w:rPr>
            <w:rFonts w:ascii="Times New Roman" w:hAnsi="Times New Roman" w:cs="Times New Roman"/>
            <w:noProof/>
          </w:rPr>
          <w:t>4</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3DD7"/>
    <w:rsid w:val="003E6938"/>
    <w:rsid w:val="003E6AC6"/>
    <w:rsid w:val="003F03E0"/>
    <w:rsid w:val="003F0992"/>
    <w:rsid w:val="003F21E6"/>
    <w:rsid w:val="003F2440"/>
    <w:rsid w:val="003F28DA"/>
    <w:rsid w:val="003F3774"/>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08E"/>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DA7"/>
    <w:rsid w:val="00FC50FB"/>
    <w:rsid w:val="00FC54BD"/>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7196D-9E61-4942-9818-A83F9696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13861</Words>
  <Characters>108116</Characters>
  <Application>Microsoft Office Word</Application>
  <DocSecurity>0</DocSecurity>
  <Lines>1930</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Таборко Елена Николаевна</cp:lastModifiedBy>
  <cp:revision>2</cp:revision>
  <cp:lastPrinted>2025-04-21T08:41:00Z</cp:lastPrinted>
  <dcterms:created xsi:type="dcterms:W3CDTF">2026-01-27T11:37:00Z</dcterms:created>
  <dcterms:modified xsi:type="dcterms:W3CDTF">2026-01-27T11:37:00Z</dcterms:modified>
</cp:coreProperties>
</file>